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footer13.xml" ContentType="application/vnd.openxmlformats-officedocument.wordprocessingml.footer+xml"/>
  <Override PartName="/word/footer12.xml" ContentType="application/vnd.openxmlformats-officedocument.wordprocessingml.footer+xml"/>
  <Override PartName="/word/footer11.xml" ContentType="application/vnd.openxmlformats-officedocument.wordprocessingml.footer+xml"/>
  <Override PartName="/word/footer10.xml" ContentType="application/vnd.openxmlformats-officedocument.wordprocessingml.footer+xml"/>
  <Override PartName="/word/footer9.xml" ContentType="application/vnd.openxmlformats-officedocument.wordprocessingml.footer+xml"/>
  <Override PartName="/word/theme/theme1.xml" ContentType="application/vnd.openxmlformats-officedocument.theme+xml"/>
  <Override PartName="/word/footer8.xml" ContentType="application/vnd.openxmlformats-officedocument.wordprocessingml.footer+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header1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1.xml" ContentType="application/vnd.openxmlformats-officedocument.wordprocessingml.header+xml"/>
  <Override PartName="/word/header10.xml" ContentType="application/vnd.openxmlformats-officedocument.wordprocessingml.header+xml"/>
  <Override PartName="/word/settings.xml" ContentType="application/vnd.openxmlformats-officedocument.wordprocessingml.settings+xml"/>
  <Override PartName="/word/footer14.xml" ContentType="application/vnd.openxmlformats-officedocument.wordprocessingml.footer+xml"/>
  <Override PartName="/word/footer15.xml" ContentType="application/vnd.openxmlformats-officedocument.wordprocessingml.footer+xml"/>
  <Override PartName="/word/numbering.xml" ContentType="application/vnd.openxmlformats-officedocument.wordprocessingml.numbering+xml"/>
  <Override PartName="/word/header8.xml" ContentType="application/vnd.openxmlformats-officedocument.wordprocessingml.header+xml"/>
  <Override PartName="/word/footer5.xml" ContentType="application/vnd.openxmlformats-officedocument.wordprocessingml.footer+xml"/>
  <Override PartName="/word/footnotes.xml" ContentType="application/vnd.openxmlformats-officedocument.wordprocessingml.footnotes+xml"/>
  <Override PartName="/word/fontTable.xml" ContentType="application/vnd.openxmlformats-officedocument.wordprocessingml.fontTable+xml"/>
  <Override PartName="/word/header11.xml" ContentType="application/vnd.openxmlformats-officedocument.wordprocessingml.header+xml"/>
  <Override PartName="/word/header2.xml" ContentType="application/vnd.openxmlformats-officedocument.wordprocessingml.header+xml"/>
  <Override PartName="/word/styles.xml" ContentType="application/vnd.openxmlformats-officedocument.wordprocessingml.styles+xml"/>
  <Override PartName="/word/document.xml" ContentType="application/vnd.openxmlformats-officedocument.wordprocessingml.document.main+xml"/>
  <Override PartName="/word/footer4.xml" ContentType="application/vnd.openxmlformats-officedocument.wordprocessingml.footer+xml"/>
  <Override PartName="/word/header7.xml" ContentType="application/vnd.openxmlformats-officedocument.wordprocessingml.header+xml"/>
  <Override PartName="/word/header1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3.xml" ContentType="application/vnd.openxmlformats-officedocument.wordprocessingml.header+xml"/>
  <Override PartName="/word/footer7.xml" ContentType="application/vnd.openxmlformats-officedocument.wordprocessingml.footer+xml"/>
  <Override PartName="/word/footer1.xml" ContentType="application/vnd.openxmlformats-officedocument.wordprocessingml.footer+xml"/>
  <Override PartName="/word/header13.xml" ContentType="application/vnd.openxmlformats-officedocument.wordprocessingml.header+xml"/>
  <Override PartName="/word/header4.xml" ContentType="application/vnd.openxmlformats-officedocument.wordprocessingml.header+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spacing w:lineRule="auto" w:line="240" w:before="0" w:after="0"/>
        <w:ind w:hanging="0" w:left="4592" w:right="0"/>
        <w:contextualSpacing/>
        <w:jc w:val="both"/>
        <w:rPr>
          <w:rFonts w:ascii="Times New Roman" w:hAnsi="Times New Roman"/>
          <w:sz w:val="28"/>
        </w:rPr>
      </w:pPr>
      <w:r>
        <w:rPr>
          <w:rFonts w:ascii="Times New Roman" w:hAnsi="Times New Roman"/>
          <w:sz w:val="28"/>
        </w:rPr>
        <w:t xml:space="preserve">Приложение </w:t>
      </w:r>
      <w:r>
        <w:rPr>
          <w:rFonts w:ascii="Times New Roman" w:hAnsi="Times New Roman"/>
          <w:sz w:val="28"/>
        </w:rPr>
        <w:t>7</w:t>
      </w:r>
      <w:r>
        <w:rPr>
          <w:rFonts w:ascii="Times New Roman" w:hAnsi="Times New Roman"/>
          <w:sz w:val="28"/>
        </w:rPr>
        <w:t xml:space="preserve"> к приказу Министерства</w:t>
      </w:r>
    </w:p>
    <w:p>
      <w:pPr>
        <w:pStyle w:val="Normal"/>
        <w:widowControl w:val="false"/>
        <w:spacing w:lineRule="auto" w:line="240" w:before="0" w:after="0"/>
        <w:ind w:hanging="0" w:left="4592" w:right="0"/>
        <w:contextualSpacing/>
        <w:jc w:val="left"/>
        <w:rPr>
          <w:rFonts w:ascii="Times New Roman" w:hAnsi="Times New Roman"/>
          <w:sz w:val="28"/>
        </w:rPr>
      </w:pPr>
      <w:r>
        <w:rPr>
          <w:rFonts w:ascii="Times New Roman" w:hAnsi="Times New Roman"/>
          <w:sz w:val="28"/>
        </w:rPr>
        <w:t>образования Камчатского края</w:t>
      </w:r>
    </w:p>
    <w:tbl>
      <w:tblPr>
        <w:tblW w:w="4823" w:type="dxa"/>
        <w:jc w:val="left"/>
        <w:tblInd w:w="4300" w:type="dxa"/>
        <w:tblLayout w:type="fixed"/>
        <w:tblCellMar>
          <w:top w:w="55" w:type="dxa"/>
          <w:left w:w="108" w:type="dxa"/>
          <w:bottom w:w="55" w:type="dxa"/>
          <w:right w:w="108" w:type="dxa"/>
        </w:tblCellMar>
      </w:tblPr>
      <w:tblGrid>
        <w:gridCol w:w="968"/>
        <w:gridCol w:w="1530"/>
        <w:gridCol w:w="498"/>
        <w:gridCol w:w="1826"/>
      </w:tblGrid>
      <w:tr>
        <w:trPr/>
        <w:tc>
          <w:tcPr>
            <w:tcW w:w="968" w:type="dxa"/>
            <w:tcBorders/>
          </w:tcPr>
          <w:p>
            <w:pPr>
              <w:pStyle w:val="Normal"/>
              <w:widowControl/>
              <w:tabs>
                <w:tab w:val="clear" w:pos="708"/>
                <w:tab w:val="left" w:pos="277" w:leader="none"/>
              </w:tabs>
              <w:spacing w:lineRule="auto" w:line="240" w:before="0" w:after="60"/>
              <w:ind w:hanging="0" w:left="283" w:right="0"/>
              <w:jc w:val="left"/>
              <w:rPr>
                <w:rFonts w:ascii="Times New Roman" w:hAnsi="Times New Roman"/>
                <w:sz w:val="28"/>
              </w:rPr>
            </w:pPr>
            <w:r>
              <w:rPr>
                <w:rFonts w:ascii="Times New Roman" w:hAnsi="Times New Roman"/>
                <w:color w:val="000000"/>
                <w:spacing w:val="0"/>
                <w:sz w:val="28"/>
              </w:rPr>
              <w:t>от</w:t>
            </w:r>
          </w:p>
        </w:tc>
        <w:tc>
          <w:tcPr>
            <w:tcW w:w="1530" w:type="dxa"/>
            <w:tcBorders/>
          </w:tcPr>
          <w:p>
            <w:pPr>
              <w:pStyle w:val="Normal"/>
              <w:widowControl/>
              <w:spacing w:lineRule="auto" w:line="240" w:before="0" w:after="60"/>
              <w:ind w:hanging="0" w:left="0" w:right="0"/>
              <w:jc w:val="right"/>
              <w:rPr>
                <w:rFonts w:ascii="Times New Roman" w:hAnsi="Times New Roman"/>
                <w:sz w:val="28"/>
              </w:rPr>
            </w:pPr>
            <w:r>
              <w:rPr>
                <w:rFonts w:ascii="Times New Roman" w:hAnsi="Times New Roman"/>
                <w:color w:themeColor="background1" w:val="FFFFFF"/>
                <w:spacing w:val="0"/>
                <w:sz w:val="28"/>
              </w:rPr>
              <w:t>[REGDATESTAMP]</w:t>
            </w:r>
          </w:p>
        </w:tc>
        <w:tc>
          <w:tcPr>
            <w:tcW w:w="498" w:type="dxa"/>
            <w:tcBorders/>
          </w:tcPr>
          <w:p>
            <w:pPr>
              <w:pStyle w:val="Normal"/>
              <w:widowControl/>
              <w:spacing w:lineRule="auto" w:line="240" w:before="0" w:after="60"/>
              <w:ind w:hanging="0" w:left="0" w:right="0"/>
              <w:jc w:val="right"/>
              <w:rPr>
                <w:rFonts w:ascii="Times New Roman" w:hAnsi="Times New Roman"/>
                <w:sz w:val="28"/>
              </w:rPr>
            </w:pPr>
            <w:r>
              <w:rPr>
                <w:rFonts w:ascii="Times New Roman" w:hAnsi="Times New Roman"/>
                <w:color w:val="000000"/>
                <w:spacing w:val="0"/>
                <w:sz w:val="28"/>
              </w:rPr>
              <w:t>№</w:t>
            </w:r>
          </w:p>
        </w:tc>
        <w:tc>
          <w:tcPr>
            <w:tcW w:w="1826" w:type="dxa"/>
            <w:tcBorders/>
          </w:tcPr>
          <w:p>
            <w:pPr>
              <w:pStyle w:val="Normal"/>
              <w:widowControl/>
              <w:spacing w:lineRule="auto" w:line="240" w:before="0" w:after="60"/>
              <w:ind w:hanging="0" w:left="0" w:right="0"/>
              <w:jc w:val="right"/>
              <w:rPr>
                <w:rFonts w:ascii="Times New Roman" w:hAnsi="Times New Roman"/>
                <w:sz w:val="28"/>
              </w:rPr>
            </w:pPr>
            <w:r>
              <w:rPr>
                <w:rFonts w:ascii="Times New Roman" w:hAnsi="Times New Roman"/>
                <w:color w:themeColor="background1" w:val="FFFFFF"/>
                <w:spacing w:val="0"/>
                <w:sz w:val="28"/>
              </w:rPr>
              <w:t>[REGNUMSTAMP]</w:t>
            </w:r>
          </w:p>
        </w:tc>
      </w:tr>
    </w:tbl>
    <w:p>
      <w:pPr>
        <w:pStyle w:val="Normal"/>
        <w:spacing w:lineRule="auto" w:line="240"/>
        <w:ind w:hanging="0" w:left="0" w:right="102"/>
        <w:jc w:val="center"/>
        <w:rPr>
          <w:rFonts w:ascii="Times New Roman" w:hAnsi="Times New Roman"/>
          <w:b/>
          <w:sz w:val="28"/>
        </w:rPr>
      </w:pPr>
      <w:bookmarkStart w:id="0" w:name="bookmark0"/>
      <w:r>
        <w:rPr>
          <w:rFonts w:ascii="Times New Roman" w:hAnsi="Times New Roman"/>
          <w:b/>
          <w:sz w:val="28"/>
        </w:rPr>
        <w:t>Инструкции для проведения единого государственного экзамена по учебному предмету «Информатика» в компьютерной форме в 2026 году</w:t>
      </w:r>
    </w:p>
    <w:p>
      <w:pPr>
        <w:pStyle w:val="15"/>
        <w:ind w:hanging="0" w:left="2323" w:right="0"/>
        <w:rPr/>
      </w:pPr>
      <w:r>
        <w:rPr/>
      </w:r>
    </w:p>
    <w:p>
      <w:pPr>
        <w:pStyle w:val="15"/>
        <w:jc w:val="center"/>
        <w:rPr/>
      </w:pPr>
      <w:r>
        <w:rPr/>
        <w:t>Содержание</w:t>
      </w:r>
    </w:p>
    <w:sdt>
      <w:sdtPr>
        <w:docPartObj>
          <w:docPartGallery w:val="Table of Contents"/>
          <w:docPartUnique w:val="true"/>
        </w:docPartObj>
      </w:sdtPr>
      <w:sdtContent>
        <w:p>
          <w:pPr>
            <w:pStyle w:val="TOC1"/>
            <w:tabs>
              <w:tab w:val="clear" w:pos="708"/>
              <w:tab w:val="right" w:pos="10744" w:leader="dot"/>
            </w:tabs>
            <w:spacing w:before="0" w:after="0"/>
            <w:contextualSpacing/>
            <w:rPr/>
          </w:pPr>
          <w:r>
            <w:fldChar w:fldCharType="begin"/>
          </w:r>
          <w:r>
            <w:rPr>
              <w:rStyle w:val="Style13"/>
              <w:sz w:val="28"/>
              <w:b/>
              <w:szCs w:val="28"/>
              <w:bCs/>
              <w:rFonts w:ascii="Times New Roman" w:hAnsi="Times New Roman"/>
            </w:rPr>
            <w:instrText xml:space="preserve"> TOC \o "1-3" \h</w:instrText>
          </w:r>
          <w:r>
            <w:rPr>
              <w:rStyle w:val="Style13"/>
              <w:sz w:val="28"/>
              <w:b/>
              <w:szCs w:val="28"/>
              <w:bCs/>
              <w:rFonts w:ascii="Times New Roman" w:hAnsi="Times New Roman"/>
            </w:rPr>
            <w:fldChar w:fldCharType="separate"/>
          </w:r>
          <w:hyperlink w:anchor="__RefHeading___1">
            <w:r>
              <w:rPr>
                <w:rStyle w:val="Style13"/>
                <w:rFonts w:ascii="Times New Roman" w:hAnsi="Times New Roman"/>
                <w:b/>
                <w:bCs/>
                <w:sz w:val="28"/>
                <w:szCs w:val="28"/>
              </w:rPr>
              <w:t>1. Рекомендации по проведению ЕГЭ по информатике в компьютерной форме (КЕГЭ) в ППЭ</w:t>
              <w:tab/>
              <w:t>349</w:t>
            </w:r>
          </w:hyperlink>
        </w:p>
        <w:p>
          <w:pPr>
            <w:pStyle w:val="TOC2"/>
            <w:tabs>
              <w:tab w:val="clear" w:pos="708"/>
              <w:tab w:val="right" w:pos="10744" w:leader="dot"/>
            </w:tabs>
            <w:spacing w:before="0" w:after="0"/>
            <w:contextualSpacing/>
            <w:rPr/>
          </w:pPr>
          <w:hyperlink w:anchor="__RefHeading___2">
            <w:r>
              <w:rPr>
                <w:rStyle w:val="Style13"/>
                <w:rFonts w:ascii="Times New Roman" w:hAnsi="Times New Roman"/>
                <w:sz w:val="28"/>
                <w:szCs w:val="28"/>
              </w:rPr>
              <w:t>1.1. Общая информация</w:t>
              <w:tab/>
              <w:t>349</w:t>
            </w:r>
          </w:hyperlink>
        </w:p>
        <w:p>
          <w:pPr>
            <w:pStyle w:val="TOC2"/>
            <w:tabs>
              <w:tab w:val="clear" w:pos="708"/>
              <w:tab w:val="right" w:pos="10744" w:leader="dot"/>
            </w:tabs>
            <w:spacing w:before="0" w:after="0"/>
            <w:contextualSpacing/>
            <w:rPr/>
          </w:pPr>
          <w:hyperlink w:anchor="__RefHeading___3">
            <w:r>
              <w:rPr>
                <w:rStyle w:val="Style13"/>
                <w:rFonts w:ascii="Times New Roman" w:hAnsi="Times New Roman"/>
                <w:sz w:val="28"/>
                <w:szCs w:val="28"/>
              </w:rPr>
              <w:t>1.2. Особенности организации ППЭ для проведения КЕГЭ и подготовки к экзамену</w:t>
              <w:tab/>
              <w:t>349</w:t>
            </w:r>
          </w:hyperlink>
        </w:p>
        <w:p>
          <w:pPr>
            <w:pStyle w:val="TOC2"/>
            <w:tabs>
              <w:tab w:val="clear" w:pos="708"/>
              <w:tab w:val="right" w:pos="10744" w:leader="dot"/>
            </w:tabs>
            <w:spacing w:before="0" w:after="0"/>
            <w:contextualSpacing/>
            <w:rPr/>
          </w:pPr>
          <w:hyperlink w:anchor="__RefHeading___4">
            <w:r>
              <w:rPr>
                <w:rStyle w:val="Style13"/>
                <w:rFonts w:ascii="Times New Roman" w:hAnsi="Times New Roman"/>
                <w:sz w:val="28"/>
                <w:szCs w:val="28"/>
              </w:rPr>
              <w:t>1.3. Инструкция для технического специалиста</w:t>
              <w:tab/>
              <w:t>351</w:t>
            </w:r>
          </w:hyperlink>
        </w:p>
        <w:p>
          <w:pPr>
            <w:pStyle w:val="TOC2"/>
            <w:tabs>
              <w:tab w:val="clear" w:pos="708"/>
              <w:tab w:val="right" w:pos="10744" w:leader="dot"/>
            </w:tabs>
            <w:spacing w:before="0" w:after="0"/>
            <w:contextualSpacing/>
            <w:rPr/>
          </w:pPr>
          <w:hyperlink w:anchor="__RefHeading___5">
            <w:r>
              <w:rPr>
                <w:rStyle w:val="Style13"/>
                <w:rFonts w:ascii="Times New Roman" w:hAnsi="Times New Roman"/>
                <w:sz w:val="28"/>
                <w:szCs w:val="28"/>
              </w:rPr>
              <w:t>1.4. Инструкция для члена ГЭК</w:t>
              <w:tab/>
              <w:t>367</w:t>
            </w:r>
          </w:hyperlink>
        </w:p>
        <w:p>
          <w:pPr>
            <w:pStyle w:val="TOC2"/>
            <w:tabs>
              <w:tab w:val="clear" w:pos="708"/>
              <w:tab w:val="right" w:pos="10744" w:leader="dot"/>
            </w:tabs>
            <w:spacing w:before="0" w:after="0"/>
            <w:contextualSpacing/>
            <w:rPr/>
          </w:pPr>
          <w:hyperlink w:anchor="__RefHeading___6">
            <w:r>
              <w:rPr>
                <w:rStyle w:val="Style13"/>
                <w:rFonts w:ascii="Times New Roman" w:hAnsi="Times New Roman"/>
                <w:sz w:val="28"/>
                <w:szCs w:val="28"/>
              </w:rPr>
              <w:t>1.5. Инструкция для руководителя ППЭ</w:t>
              <w:tab/>
              <w:t>375</w:t>
            </w:r>
          </w:hyperlink>
        </w:p>
        <w:p>
          <w:pPr>
            <w:pStyle w:val="TOC2"/>
            <w:tabs>
              <w:tab w:val="clear" w:pos="708"/>
              <w:tab w:val="right" w:pos="10744" w:leader="dot"/>
            </w:tabs>
            <w:spacing w:before="0" w:after="0"/>
            <w:contextualSpacing/>
            <w:rPr/>
          </w:pPr>
          <w:hyperlink w:anchor="__RefHeading___7">
            <w:r>
              <w:rPr>
                <w:rStyle w:val="Style13"/>
                <w:rFonts w:ascii="Times New Roman" w:hAnsi="Times New Roman"/>
                <w:sz w:val="28"/>
                <w:szCs w:val="28"/>
              </w:rPr>
              <w:t>1.6. Инструкция для организатора в аудитории</w:t>
              <w:tab/>
              <w:t>380</w:t>
            </w:r>
          </w:hyperlink>
        </w:p>
        <w:p>
          <w:pPr>
            <w:pStyle w:val="TOC2"/>
            <w:tabs>
              <w:tab w:val="clear" w:pos="708"/>
              <w:tab w:val="right" w:pos="10744" w:leader="dot"/>
            </w:tabs>
            <w:spacing w:before="0" w:after="0"/>
            <w:contextualSpacing/>
            <w:rPr/>
          </w:pPr>
          <w:hyperlink w:anchor="__RefHeading___8">
            <w:r>
              <w:rPr>
                <w:rStyle w:val="Style13"/>
                <w:rFonts w:ascii="Times New Roman" w:hAnsi="Times New Roman"/>
                <w:sz w:val="28"/>
                <w:szCs w:val="28"/>
              </w:rPr>
              <w:t>1.7. Инструкция для участника экзамена, зачитываемая организатором в аудитории перед началом КЕГЭ</w:t>
              <w:tab/>
              <w:t>388</w:t>
            </w:r>
          </w:hyperlink>
        </w:p>
        <w:p>
          <w:pPr>
            <w:pStyle w:val="TOC2"/>
            <w:tabs>
              <w:tab w:val="clear" w:pos="708"/>
              <w:tab w:val="right" w:pos="10744" w:leader="dot"/>
            </w:tabs>
            <w:spacing w:before="0" w:after="0"/>
            <w:contextualSpacing/>
            <w:rPr/>
          </w:pPr>
          <w:hyperlink w:anchor="__RefHeading___9">
            <w:r>
              <w:rPr>
                <w:rStyle w:val="Style13"/>
                <w:rFonts w:ascii="Times New Roman" w:hAnsi="Times New Roman"/>
                <w:sz w:val="28"/>
                <w:szCs w:val="28"/>
              </w:rPr>
              <w:t>1.8. Инструктаж для организаторов, проводимый в ППЭ перед началом КЕГЭ</w:t>
              <w:tab/>
              <w:t>396</w:t>
            </w:r>
          </w:hyperlink>
        </w:p>
        <w:p>
          <w:pPr>
            <w:pStyle w:val="TOC2"/>
            <w:tabs>
              <w:tab w:val="clear" w:pos="708"/>
              <w:tab w:val="right" w:pos="10744" w:leader="dot"/>
            </w:tabs>
            <w:spacing w:before="0" w:after="0"/>
            <w:contextualSpacing/>
            <w:rPr/>
          </w:pPr>
          <w:hyperlink w:anchor="__RefHeading___10">
            <w:r>
              <w:rPr>
                <w:rStyle w:val="Style13"/>
                <w:rFonts w:ascii="Times New Roman" w:hAnsi="Times New Roman"/>
                <w:sz w:val="28"/>
                <w:szCs w:val="28"/>
              </w:rPr>
              <w:t>1.9. Требования к техническому оснащению ППЭ</w:t>
              <w:tab/>
              <w:t>399</w:t>
            </w:r>
          </w:hyperlink>
        </w:p>
        <w:p>
          <w:pPr>
            <w:pStyle w:val="TOC1"/>
            <w:tabs>
              <w:tab w:val="clear" w:pos="708"/>
              <w:tab w:val="right" w:pos="10744" w:leader="dot"/>
            </w:tabs>
            <w:spacing w:before="0" w:after="0"/>
            <w:contextualSpacing/>
            <w:rPr/>
          </w:pPr>
          <w:hyperlink w:anchor="__RefHeading___11">
            <w:r>
              <w:rPr>
                <w:rStyle w:val="Style13"/>
                <w:rFonts w:ascii="Times New Roman" w:hAnsi="Times New Roman"/>
                <w:b/>
                <w:bCs/>
                <w:sz w:val="28"/>
                <w:szCs w:val="28"/>
              </w:rPr>
              <w:t>2. Рекомендации по проведению ЕГЭ по информатике в компьютерной форме (КЕГЭ) в ППЭ для участников КЕГЭ с ОВЗ, участников экзаменов – детей-инвалидов и инвалидов</w:t>
              <w:tab/>
              <w:t>405</w:t>
            </w:r>
          </w:hyperlink>
        </w:p>
        <w:p>
          <w:pPr>
            <w:pStyle w:val="TOC2"/>
            <w:tabs>
              <w:tab w:val="clear" w:pos="708"/>
              <w:tab w:val="right" w:pos="10744" w:leader="dot"/>
            </w:tabs>
            <w:spacing w:before="0" w:after="0"/>
            <w:contextualSpacing/>
            <w:rPr/>
          </w:pPr>
          <w:hyperlink w:anchor="__RefHeading___12">
            <w:r>
              <w:rPr>
                <w:rStyle w:val="Style13"/>
                <w:rFonts w:ascii="Times New Roman" w:hAnsi="Times New Roman"/>
                <w:sz w:val="28"/>
                <w:szCs w:val="28"/>
              </w:rPr>
              <w:t>2.1. Особенности организации ППЭ</w:t>
              <w:tab/>
              <w:t>405</w:t>
            </w:r>
          </w:hyperlink>
        </w:p>
        <w:p>
          <w:pPr>
            <w:pStyle w:val="TOC2"/>
            <w:tabs>
              <w:tab w:val="clear" w:pos="708"/>
              <w:tab w:val="right" w:pos="10744" w:leader="dot"/>
            </w:tabs>
            <w:spacing w:before="0" w:after="0"/>
            <w:contextualSpacing/>
            <w:rPr/>
          </w:pPr>
          <w:hyperlink w:anchor="__RefHeading___13">
            <w:r>
              <w:rPr>
                <w:rStyle w:val="Style13"/>
                <w:rFonts w:ascii="Times New Roman" w:hAnsi="Times New Roman"/>
                <w:sz w:val="28"/>
                <w:szCs w:val="28"/>
              </w:rPr>
              <w:t>2.2. Особенности проведения экзамена в ППЭ</w:t>
              <w:tab/>
              <w:t>407</w:t>
            </w:r>
          </w:hyperlink>
        </w:p>
        <w:p>
          <w:pPr>
            <w:pStyle w:val="TOC3"/>
            <w:tabs>
              <w:tab w:val="clear" w:pos="708"/>
              <w:tab w:val="right" w:pos="10744" w:leader="dot"/>
            </w:tabs>
            <w:spacing w:before="0" w:after="0"/>
            <w:contextualSpacing/>
            <w:rPr/>
          </w:pPr>
          <w:hyperlink w:anchor="__RefHeading___14">
            <w:r>
              <w:rPr>
                <w:rStyle w:val="Style13"/>
                <w:rFonts w:ascii="Times New Roman" w:hAnsi="Times New Roman"/>
                <w:sz w:val="28"/>
                <w:szCs w:val="28"/>
              </w:rPr>
              <w:t>2.2.1. Допуск в ППЭ и рассадка в аудитории</w:t>
              <w:tab/>
              <w:t>407</w:t>
            </w:r>
          </w:hyperlink>
        </w:p>
        <w:p>
          <w:pPr>
            <w:pStyle w:val="TOC3"/>
            <w:tabs>
              <w:tab w:val="clear" w:pos="708"/>
              <w:tab w:val="right" w:pos="10744" w:leader="dot"/>
            </w:tabs>
            <w:spacing w:before="0" w:after="0"/>
            <w:contextualSpacing/>
            <w:rPr/>
          </w:pPr>
          <w:hyperlink w:anchor="__RefHeading___15">
            <w:r>
              <w:rPr>
                <w:rStyle w:val="Style13"/>
                <w:rFonts w:ascii="Times New Roman" w:hAnsi="Times New Roman"/>
                <w:sz w:val="28"/>
                <w:szCs w:val="28"/>
              </w:rPr>
              <w:t>2.2.2. Начало проведения экзамена в аудитории</w:t>
              <w:tab/>
              <w:t>408</w:t>
            </w:r>
          </w:hyperlink>
        </w:p>
        <w:p>
          <w:pPr>
            <w:pStyle w:val="TOC3"/>
            <w:tabs>
              <w:tab w:val="clear" w:pos="708"/>
              <w:tab w:val="right" w:pos="10744" w:leader="dot"/>
            </w:tabs>
            <w:spacing w:before="0" w:after="0"/>
            <w:contextualSpacing/>
            <w:rPr/>
          </w:pPr>
          <w:hyperlink w:anchor="__RefHeading___16">
            <w:r>
              <w:rPr>
                <w:rStyle w:val="Style13"/>
                <w:rFonts w:ascii="Times New Roman" w:hAnsi="Times New Roman"/>
                <w:sz w:val="28"/>
                <w:szCs w:val="28"/>
              </w:rPr>
              <w:t>2.2.3. Проведение экзамена в аудитории</w:t>
              <w:tab/>
              <w:t>408</w:t>
            </w:r>
          </w:hyperlink>
        </w:p>
        <w:p>
          <w:pPr>
            <w:pStyle w:val="TOC3"/>
            <w:tabs>
              <w:tab w:val="clear" w:pos="708"/>
              <w:tab w:val="right" w:pos="10744" w:leader="dot"/>
            </w:tabs>
            <w:spacing w:before="0" w:after="0"/>
            <w:contextualSpacing/>
            <w:rPr/>
          </w:pPr>
          <w:hyperlink w:anchor="__RefHeading___17">
            <w:r>
              <w:rPr>
                <w:rStyle w:val="Style13"/>
                <w:rFonts w:ascii="Times New Roman" w:hAnsi="Times New Roman"/>
                <w:sz w:val="28"/>
                <w:szCs w:val="28"/>
              </w:rPr>
              <w:t>2.2.4. Завершение экзамена в аудитории</w:t>
              <w:tab/>
              <w:t>409</w:t>
            </w:r>
          </w:hyperlink>
        </w:p>
        <w:p>
          <w:pPr>
            <w:pStyle w:val="TOC3"/>
            <w:tabs>
              <w:tab w:val="clear" w:pos="708"/>
              <w:tab w:val="right" w:pos="10744" w:leader="dot"/>
            </w:tabs>
            <w:spacing w:before="0" w:after="0"/>
            <w:contextualSpacing/>
            <w:rPr/>
          </w:pPr>
          <w:hyperlink w:anchor="__RefHeading___18">
            <w:r>
              <w:rPr>
                <w:rStyle w:val="Style13"/>
                <w:rFonts w:ascii="Times New Roman" w:hAnsi="Times New Roman"/>
                <w:sz w:val="28"/>
                <w:szCs w:val="28"/>
              </w:rPr>
              <w:t>2.2.5. Особенности завершающего этапа проведения экзамена в ППЭ для отдельных категорий участников</w:t>
              <w:tab/>
              <w:t>410</w:t>
            </w:r>
          </w:hyperlink>
        </w:p>
        <w:p>
          <w:pPr>
            <w:pStyle w:val="TOC2"/>
            <w:tabs>
              <w:tab w:val="clear" w:pos="708"/>
              <w:tab w:val="right" w:pos="10744" w:leader="dot"/>
            </w:tabs>
            <w:spacing w:before="0" w:after="0"/>
            <w:contextualSpacing/>
            <w:rPr/>
          </w:pPr>
          <w:hyperlink w:anchor="__RefHeading___19">
            <w:r>
              <w:rPr>
                <w:rStyle w:val="Style13"/>
                <w:rFonts w:ascii="Times New Roman" w:hAnsi="Times New Roman"/>
                <w:sz w:val="28"/>
                <w:szCs w:val="28"/>
              </w:rPr>
              <w:t>2.3. Памятки для лиц, привлекаемых к проведению ЕГЭ в ППЭ</w:t>
              <w:tab/>
              <w:t>410</w:t>
            </w:r>
          </w:hyperlink>
        </w:p>
        <w:p>
          <w:pPr>
            <w:pStyle w:val="TOC3"/>
            <w:tabs>
              <w:tab w:val="clear" w:pos="708"/>
              <w:tab w:val="right" w:pos="10744" w:leader="dot"/>
            </w:tabs>
            <w:spacing w:before="0" w:after="0"/>
            <w:contextualSpacing/>
            <w:rPr/>
          </w:pPr>
          <w:hyperlink w:anchor="__RefHeading___20">
            <w:r>
              <w:rPr>
                <w:rStyle w:val="Style13"/>
                <w:rFonts w:ascii="Times New Roman" w:hAnsi="Times New Roman"/>
                <w:sz w:val="28"/>
                <w:szCs w:val="28"/>
              </w:rPr>
              <w:t>2.3.1. Памятка для технического специалиста при проведении КЕГЭ для лиц с ОВЗ, детей-инвалидов и инвалидов</w:t>
              <w:tab/>
              <w:t>410</w:t>
            </w:r>
          </w:hyperlink>
        </w:p>
        <w:p>
          <w:pPr>
            <w:pStyle w:val="TOC3"/>
            <w:tabs>
              <w:tab w:val="clear" w:pos="708"/>
              <w:tab w:val="right" w:pos="10744" w:leader="dot"/>
            </w:tabs>
            <w:spacing w:before="0" w:after="0"/>
            <w:contextualSpacing/>
            <w:rPr/>
          </w:pPr>
          <w:hyperlink w:anchor="__RefHeading___21">
            <w:r>
              <w:rPr>
                <w:rStyle w:val="Style13"/>
                <w:rFonts w:ascii="Times New Roman" w:hAnsi="Times New Roman"/>
                <w:sz w:val="28"/>
                <w:szCs w:val="28"/>
              </w:rPr>
              <w:t>2.3.2. Памятка для руководителя ППЭ при проведении КЕГЭ для лиц с ОВЗ, детей-инвалидов и инвалидов</w:t>
              <w:tab/>
              <w:t>414</w:t>
            </w:r>
          </w:hyperlink>
        </w:p>
        <w:p>
          <w:pPr>
            <w:pStyle w:val="TOC3"/>
            <w:tabs>
              <w:tab w:val="clear" w:pos="708"/>
              <w:tab w:val="right" w:pos="10744" w:leader="dot"/>
            </w:tabs>
            <w:spacing w:before="0" w:after="0"/>
            <w:contextualSpacing/>
            <w:rPr/>
          </w:pPr>
          <w:hyperlink w:anchor="__RefHeading___22">
            <w:r>
              <w:rPr>
                <w:rStyle w:val="Style13"/>
                <w:rFonts w:ascii="Times New Roman" w:hAnsi="Times New Roman"/>
                <w:sz w:val="28"/>
                <w:szCs w:val="28"/>
              </w:rPr>
              <w:t>2.3.3. Памятка для члена ГЭК при проведении КЕГЭ для лиц с ОВЗ, детей- инвалидов и инвалидов</w:t>
              <w:tab/>
              <w:t>418</w:t>
            </w:r>
          </w:hyperlink>
        </w:p>
        <w:p>
          <w:pPr>
            <w:pStyle w:val="TOC3"/>
            <w:tabs>
              <w:tab w:val="clear" w:pos="708"/>
              <w:tab w:val="right" w:pos="10744" w:leader="dot"/>
            </w:tabs>
            <w:spacing w:before="0" w:after="0"/>
            <w:contextualSpacing/>
            <w:rPr/>
          </w:pPr>
          <w:hyperlink w:anchor="__RefHeading___23">
            <w:r>
              <w:rPr>
                <w:rStyle w:val="Style13"/>
                <w:rFonts w:ascii="Times New Roman" w:hAnsi="Times New Roman"/>
                <w:sz w:val="28"/>
                <w:szCs w:val="28"/>
              </w:rPr>
              <w:t>2.3.4. Памятка для организатора в аудитории при проведении КЕГЭ для слепых, слабовидящих и поздноослепших участников экзамена, использующих рельефно-точечный шрифт Брайля</w:t>
              <w:tab/>
              <w:t>420</w:t>
            </w:r>
          </w:hyperlink>
        </w:p>
        <w:p>
          <w:pPr>
            <w:pStyle w:val="TOC3"/>
            <w:tabs>
              <w:tab w:val="clear" w:pos="708"/>
              <w:tab w:val="right" w:pos="10744" w:leader="dot"/>
            </w:tabs>
            <w:spacing w:before="0" w:after="0"/>
            <w:contextualSpacing/>
            <w:rPr/>
          </w:pPr>
          <w:hyperlink w:anchor="__RefHeading___24">
            <w:r>
              <w:rPr>
                <w:rStyle w:val="Style13"/>
                <w:rFonts w:ascii="Times New Roman" w:hAnsi="Times New Roman"/>
                <w:sz w:val="28"/>
                <w:szCs w:val="28"/>
              </w:rPr>
              <w:t>2.3.5. Памятка для организатора в аудитории при проведении КЕГЭ для слабовидящих участников экзамена</w:t>
              <w:tab/>
              <w:t>421</w:t>
            </w:r>
          </w:hyperlink>
        </w:p>
        <w:p>
          <w:pPr>
            <w:pStyle w:val="TOC3"/>
            <w:tabs>
              <w:tab w:val="clear" w:pos="708"/>
              <w:tab w:val="right" w:pos="10744" w:leader="dot"/>
            </w:tabs>
            <w:spacing w:before="0" w:after="0"/>
            <w:contextualSpacing/>
            <w:rPr/>
          </w:pPr>
          <w:hyperlink w:anchor="__RefHeading___25">
            <w:r>
              <w:rPr>
                <w:rStyle w:val="Style13"/>
                <w:rFonts w:ascii="Times New Roman" w:hAnsi="Times New Roman"/>
                <w:sz w:val="28"/>
                <w:szCs w:val="28"/>
              </w:rPr>
              <w:t>2.3.6. Памятка для организатора в аудитории при проведении КЕГЭ для глухих, позднооглохших, кохлеарно имплантированных и слабослышащих участников экзамена</w:t>
              <w:tab/>
              <w:t>423</w:t>
            </w:r>
          </w:hyperlink>
        </w:p>
        <w:p>
          <w:pPr>
            <w:pStyle w:val="TOC3"/>
            <w:tabs>
              <w:tab w:val="clear" w:pos="708"/>
              <w:tab w:val="right" w:pos="10744" w:leader="dot"/>
            </w:tabs>
            <w:spacing w:before="0" w:after="0"/>
            <w:contextualSpacing/>
            <w:rPr/>
          </w:pPr>
          <w:hyperlink w:anchor="__RefHeading___26">
            <w:r>
              <w:rPr>
                <w:rStyle w:val="Style13"/>
                <w:rFonts w:ascii="Times New Roman" w:hAnsi="Times New Roman"/>
                <w:sz w:val="28"/>
                <w:szCs w:val="28"/>
              </w:rPr>
              <w:t>2.3.7. Памятка для организатора в аудитории при проведении КЕГЭ для участников экзамена с нарушениями опорно-двигательного аппарата</w:t>
              <w:tab/>
              <w:t>423</w:t>
            </w:r>
          </w:hyperlink>
        </w:p>
        <w:p>
          <w:pPr>
            <w:pStyle w:val="TOC3"/>
            <w:tabs>
              <w:tab w:val="clear" w:pos="708"/>
              <w:tab w:val="right" w:pos="10744" w:leader="dot"/>
            </w:tabs>
            <w:spacing w:before="0" w:after="0"/>
            <w:contextualSpacing/>
            <w:rPr/>
          </w:pPr>
          <w:hyperlink w:anchor="__RefHeading___27">
            <w:r>
              <w:rPr>
                <w:rStyle w:val="Style13"/>
                <w:rFonts w:ascii="Times New Roman" w:hAnsi="Times New Roman"/>
                <w:sz w:val="28"/>
                <w:szCs w:val="28"/>
              </w:rPr>
              <w:t>2.3.8. Памятка для организатора в аудитории при проведении КЕГЭ для участников экзамена прочих категорий</w:t>
              <w:tab/>
              <w:t>424</w:t>
            </w:r>
          </w:hyperlink>
        </w:p>
        <w:p>
          <w:pPr>
            <w:pStyle w:val="TOC2"/>
            <w:tabs>
              <w:tab w:val="clear" w:pos="708"/>
              <w:tab w:val="right" w:pos="10744" w:leader="dot"/>
            </w:tabs>
            <w:spacing w:before="0" w:after="0"/>
            <w:contextualSpacing/>
            <w:rPr/>
          </w:pPr>
          <w:hyperlink w:anchor="__RefHeading___28">
            <w:r>
              <w:rPr>
                <w:rStyle w:val="Style13"/>
                <w:rFonts w:ascii="Times New Roman" w:hAnsi="Times New Roman"/>
                <w:sz w:val="28"/>
                <w:szCs w:val="28"/>
              </w:rPr>
              <w:t>2.4. Технические требования и рекомендуемые параметры настройки рабочего места участника КЕГЭ для лиц с ОВЗ, детей-инвалидов и инвалидов</w:t>
              <w:tab/>
              <w:t>424</w:t>
            </w:r>
          </w:hyperlink>
        </w:p>
        <w:p>
          <w:pPr>
            <w:pStyle w:val="TOC2"/>
            <w:tabs>
              <w:tab w:val="clear" w:pos="708"/>
              <w:tab w:val="right" w:pos="10744" w:leader="dot"/>
            </w:tabs>
            <w:spacing w:before="0" w:after="0"/>
            <w:contextualSpacing/>
            <w:rPr/>
          </w:pPr>
          <w:hyperlink w:anchor="__RefHeading___29">
            <w:r>
              <w:rPr>
                <w:rStyle w:val="Style13"/>
                <w:rFonts w:ascii="Times New Roman" w:hAnsi="Times New Roman"/>
                <w:sz w:val="28"/>
                <w:szCs w:val="28"/>
              </w:rPr>
              <w:t>2.5. Особенности организации пункта проведения экзамена для участников экзамена с ОВЗ, детей-инвалидов и инвалидов при проведении КЕГЭ</w:t>
              <w:tab/>
              <w:t>427</w:t>
            </w:r>
          </w:hyperlink>
        </w:p>
        <w:p>
          <w:pPr>
            <w:pStyle w:val="TOC1"/>
            <w:tabs>
              <w:tab w:val="clear" w:pos="708"/>
              <w:tab w:val="right" w:pos="10744" w:leader="dot"/>
            </w:tabs>
            <w:spacing w:before="0" w:after="0"/>
            <w:contextualSpacing/>
            <w:rPr/>
          </w:pPr>
          <w:hyperlink w:anchor="__RefHeading___30">
            <w:r>
              <w:rPr>
                <w:rStyle w:val="Style13"/>
                <w:rFonts w:ascii="Times New Roman" w:hAnsi="Times New Roman"/>
                <w:b/>
                <w:bCs/>
                <w:sz w:val="28"/>
                <w:szCs w:val="28"/>
              </w:rPr>
              <w:t>3. Черновик участника ЕГЭ по информатике в компьютерной форме</w:t>
              <w:tab/>
              <w:t>429</w:t>
            </w:r>
          </w:hyperlink>
          <w:r>
            <w:rPr>
              <w:rStyle w:val="Style13"/>
              <w:sz w:val="28"/>
              <w:b/>
              <w:szCs w:val="28"/>
              <w:bCs/>
              <w:rFonts w:ascii="Times New Roman" w:hAnsi="Times New Roman"/>
            </w:rPr>
            <w:fldChar w:fldCharType="end"/>
          </w:r>
        </w:p>
      </w:sdtContent>
    </w:sdt>
    <w:p>
      <w:pPr>
        <w:pStyle w:val="Normal"/>
        <w:widowControl w:val="false"/>
        <w:bidi w:val="0"/>
        <w:spacing w:lineRule="auto" w:line="240" w:before="0" w:after="0"/>
        <w:ind w:hanging="0" w:left="0" w:right="0"/>
        <w:contextualSpacing/>
        <w:jc w:val="left"/>
        <w:rPr>
          <w:rFonts w:ascii="Times New Roman" w:hAnsi="Times New Roman"/>
          <w:b/>
          <w:sz w:val="28"/>
          <w:szCs w:val="28"/>
        </w:rPr>
      </w:pPr>
      <w:r>
        <w:rPr>
          <w:rFonts w:ascii="Times New Roman" w:hAnsi="Times New Roman"/>
          <w:b/>
          <w:sz w:val="28"/>
          <w:szCs w:val="28"/>
        </w:rPr>
      </w:r>
      <w:r>
        <w:br w:type="page"/>
      </w:r>
    </w:p>
    <w:p>
      <w:pPr>
        <w:pStyle w:val="15"/>
        <w:spacing w:before="0" w:after="0"/>
        <w:rPr/>
      </w:pPr>
      <w:r>
        <w:rPr/>
      </w:r>
    </w:p>
    <w:p>
      <w:pPr>
        <w:pStyle w:val="15"/>
        <w:widowControl w:val="false"/>
        <w:bidi w:val="0"/>
        <w:spacing w:lineRule="auto" w:line="240" w:before="0" w:after="0"/>
        <w:ind w:hanging="0" w:left="0" w:right="0"/>
        <w:jc w:val="left"/>
        <w:rPr/>
      </w:pPr>
      <w:bookmarkStart w:id="1" w:name="bookmark0"/>
      <w:r>
        <w:rPr/>
        <w:t>Перечень условных обозначений и сокращений</w:t>
      </w:r>
      <w:bookmarkEnd w:id="1"/>
    </w:p>
    <w:p>
      <w:pPr>
        <w:pStyle w:val="15"/>
        <w:ind w:hanging="0" w:left="2323" w:right="0"/>
        <w:rPr/>
      </w:pPr>
      <w:r>
        <w:rPr/>
      </w:r>
    </w:p>
    <w:tbl>
      <w:tblPr>
        <w:tblStyle w:val="Style_9"/>
        <w:tblW w:w="10477" w:type="dxa"/>
        <w:jc w:val="left"/>
        <w:tblInd w:w="0" w:type="dxa"/>
        <w:tblLayout w:type="fixed"/>
        <w:tblCellMar>
          <w:top w:w="0" w:type="dxa"/>
          <w:left w:w="10" w:type="dxa"/>
          <w:bottom w:w="0" w:type="dxa"/>
          <w:right w:w="10" w:type="dxa"/>
        </w:tblCellMar>
      </w:tblPr>
      <w:tblGrid>
        <w:gridCol w:w="2700"/>
        <w:gridCol w:w="7776"/>
      </w:tblGrid>
      <w:tr>
        <w:trPr>
          <w:trHeight w:val="623"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ВДП</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Возвратный доставочный пакет – непрозрачный упаковочный материал для документов формата А4 с нанесённой на него формой ППЭ-11</w:t>
            </w:r>
          </w:p>
        </w:tc>
      </w:tr>
      <w:tr>
        <w:trPr>
          <w:trHeight w:val="702"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ГИА</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Государственная итоговая аттестация по образовательным программам среднего общего образования</w:t>
            </w:r>
          </w:p>
        </w:tc>
      </w:tr>
      <w:tr>
        <w:trPr>
          <w:trHeight w:val="995"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ГЭК</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Государственная экзаменационная комиссия Камчатского края по проведению государственной итоговой аттестации по образовательным программам среднего общего образования</w:t>
            </w:r>
          </w:p>
        </w:tc>
      </w:tr>
      <w:tr>
        <w:trPr>
          <w:trHeight w:val="438"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Единый государственный экзамен</w:t>
            </w:r>
          </w:p>
        </w:tc>
      </w:tr>
      <w:tr>
        <w:trPr>
          <w:trHeight w:val="983"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ЗСПД ГИА</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Защищенная сеть передачи данных «Проведение ГИА в ППЭ» – защищённая сеть, предназначенная для связи компьютера/ноутбука, установленного в Штабе ППЭ, с Личным кабинетом</w:t>
            </w:r>
          </w:p>
        </w:tc>
      </w:tr>
      <w:tr>
        <w:trPr>
          <w:trHeight w:val="426"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ИК</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Индивидуальный комплект участника экзамена</w:t>
            </w:r>
          </w:p>
        </w:tc>
      </w:tr>
      <w:tr>
        <w:trPr>
          <w:trHeight w:val="1018"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Инструкция по использованию ПО для сдачи 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TableParagraph1"/>
              <w:widowControl w:val="false"/>
              <w:tabs>
                <w:tab w:val="clear" w:pos="708"/>
                <w:tab w:val="left" w:pos="1728" w:leader="none"/>
                <w:tab w:val="left" w:pos="2390" w:leader="none"/>
                <w:tab w:val="left" w:pos="3786" w:leader="none"/>
                <w:tab w:val="left" w:pos="4542" w:leader="none"/>
                <w:tab w:val="left" w:pos="5093" w:leader="none"/>
                <w:tab w:val="left" w:pos="6435" w:leader="none"/>
              </w:tabs>
              <w:spacing w:lineRule="auto" w:line="240" w:before="0" w:after="0"/>
              <w:ind w:hanging="0" w:left="0" w:right="125"/>
              <w:jc w:val="left"/>
              <w:rPr>
                <w:spacing w:val="0"/>
                <w:kern w:val="0"/>
                <w:sz w:val="24"/>
                <w:szCs w:val="24"/>
              </w:rPr>
            </w:pPr>
            <w:r>
              <w:rPr>
                <w:color w:val="000000"/>
                <w:spacing w:val="0"/>
                <w:kern w:val="0"/>
                <w:sz w:val="24"/>
                <w:szCs w:val="24"/>
              </w:rPr>
              <w:t xml:space="preserve">Инструкция для участника ЕГЭ по учебному предмету </w:t>
            </w:r>
            <w:r>
              <w:rPr>
                <w:spacing w:val="0"/>
                <w:kern w:val="0"/>
                <w:sz w:val="24"/>
                <w:szCs w:val="24"/>
              </w:rPr>
              <w:t>«Информатика» по использованию программного обеспечения для сдачи экзамена по информатике в компьютерной форме</w:t>
            </w:r>
          </w:p>
        </w:tc>
      </w:tr>
      <w:tr>
        <w:trPr>
          <w:trHeight w:val="99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Интернет-пакет</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Пакет с электронными КИМ и электронными бланками регистрации, доставляемый в ППЭ средствами сети «Интернет», предназначен для использования на дату и предмет экзамена</w:t>
            </w:r>
          </w:p>
        </w:tc>
      </w:tr>
      <w:tr>
        <w:trPr>
          <w:trHeight w:val="1273"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Калибровочный лист</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Тестовая страница границ печати, которая отражает качество настройки принтера станции организатора/печати ЭМ, а также используется при настройке сканера для перевода в электронный вид бланков ответов</w:t>
            </w:r>
          </w:p>
        </w:tc>
      </w:tr>
      <w:tr>
        <w:trPr>
          <w:trHeight w:val="71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ЕГЭ по учебному предмету «Информатика», проводимый в компьютерной форме</w:t>
            </w:r>
          </w:p>
        </w:tc>
      </w:tr>
      <w:tr>
        <w:trPr>
          <w:trHeight w:val="410"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КИМ</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Контрольные измерительные материалы</w:t>
            </w:r>
          </w:p>
        </w:tc>
      </w:tr>
      <w:tr>
        <w:trPr>
          <w:trHeight w:val="695"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Контрольная сумма</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Числовая последовательность, автоматически сформированная на основе введенных участником КЕГЭ ответов</w:t>
            </w:r>
          </w:p>
        </w:tc>
      </w:tr>
      <w:tr>
        <w:trPr>
          <w:trHeight w:val="2758"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Личный кабинет</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TableParagraph1"/>
              <w:widowControl w:val="false"/>
              <w:spacing w:lineRule="auto" w:line="240" w:before="0" w:after="0"/>
              <w:ind w:hanging="0" w:left="0" w:right="125"/>
              <w:jc w:val="both"/>
              <w:rPr>
                <w:spacing w:val="0"/>
                <w:kern w:val="0"/>
                <w:sz w:val="24"/>
                <w:szCs w:val="24"/>
              </w:rPr>
            </w:pPr>
            <w:r>
              <w:rPr>
                <w:color w:val="000000"/>
                <w:spacing w:val="0"/>
                <w:kern w:val="0"/>
                <w:sz w:val="24"/>
                <w:szCs w:val="24"/>
              </w:rPr>
              <w:t>Специализированный веб-ресурс, расположенный в сети «Интернет» и в ЗСПД ГИА, доступ к которому осуществляется через браузер, взаимодействующий со специализированным федеральным порталом в части передачи интернет-пакетов в ППЭ, авторизации членов ГЭК, получения статусов подготовки и проведения экзамена, получения электронных актов технической готовности и журналов работы станций ППЭ, передачи ключей доступа к ЭМ в день проведения экзамена авторизованным членам ГЭК, передачи пакетов с электронными образами бланков участников и форм ППЭ, пакетов с ответами участников КЕГЭ</w:t>
            </w:r>
          </w:p>
        </w:tc>
      </w:tr>
      <w:tr>
        <w:trPr>
          <w:trHeight w:val="992"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Образовательная организация</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Организация, осуществляющая образовательную деятельность по имеющим государственную аккредитацию образовательным программам среднего общего образования</w:t>
            </w:r>
          </w:p>
        </w:tc>
      </w:tr>
      <w:tr>
        <w:trPr>
          <w:trHeight w:val="284"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Министерство</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tabs>
                <w:tab w:val="clear" w:pos="708"/>
                <w:tab w:val="left" w:pos="2222" w:leader="none"/>
                <w:tab w:val="left" w:pos="4877" w:leader="none"/>
              </w:tabs>
              <w:spacing w:lineRule="auto" w:line="240" w:before="0" w:after="0"/>
              <w:ind w:hanging="0" w:left="0" w:right="125"/>
              <w:jc w:val="both"/>
              <w:rPr>
                <w:spacing w:val="0"/>
                <w:kern w:val="0"/>
                <w:sz w:val="24"/>
                <w:szCs w:val="24"/>
              </w:rPr>
            </w:pPr>
            <w:r>
              <w:rPr>
                <w:spacing w:val="0"/>
                <w:kern w:val="0"/>
                <w:sz w:val="24"/>
                <w:szCs w:val="24"/>
              </w:rPr>
              <w:t>Министерство образования Камчатского края</w:t>
            </w:r>
          </w:p>
        </w:tc>
      </w:tr>
      <w:tr>
        <w:trPr>
          <w:trHeight w:val="416"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ПМПК</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Психолого-медико-педагогическая комиссия</w:t>
            </w:r>
          </w:p>
        </w:tc>
      </w:tr>
      <w:tr>
        <w:trPr>
          <w:trHeight w:val="42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ПО</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Программное обеспечение</w:t>
            </w:r>
          </w:p>
        </w:tc>
      </w:tr>
      <w:tr>
        <w:trPr>
          <w:trHeight w:val="985"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ПО «Станция 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Специализированное программное обеспечение, устанавливаемое на компьютерах (ноутбуках), за которыми участники КЕГЭ проходят экзамен</w:t>
            </w:r>
          </w:p>
        </w:tc>
      </w:tr>
      <w:tr>
        <w:trPr>
          <w:trHeight w:val="1565"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Порядок</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Порядок проведения государственной итоговой аттестации по образовательным программам среднего общего образования, утвержденный приказом Министерства просвещения Российской Федерации и Федеральной службы по надзору в сфере образования и науки от 04.04.2023 № 233/552</w:t>
            </w:r>
          </w:p>
        </w:tc>
      </w:tr>
      <w:tr>
        <w:trPr>
          <w:trHeight w:val="436"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ППЭ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Пункт проведения экзамена</w:t>
            </w:r>
          </w:p>
        </w:tc>
      </w:tr>
      <w:tr>
        <w:trPr>
          <w:trHeight w:val="156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Приложение к паспорту станции 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tabs>
                <w:tab w:val="clear" w:pos="708"/>
                <w:tab w:val="left" w:pos="1742" w:leader="none"/>
                <w:tab w:val="left" w:pos="4090" w:leader="none"/>
                <w:tab w:val="right" w:pos="6792" w:leader="none"/>
              </w:tabs>
              <w:spacing w:lineRule="auto" w:line="240" w:before="0" w:after="0"/>
              <w:ind w:hanging="0" w:left="0" w:right="125"/>
              <w:jc w:val="both"/>
              <w:rPr>
                <w:spacing w:val="0"/>
                <w:kern w:val="0"/>
                <w:sz w:val="24"/>
                <w:szCs w:val="24"/>
              </w:rPr>
            </w:pPr>
            <w:r>
              <w:rPr>
                <w:spacing w:val="0"/>
                <w:kern w:val="0"/>
                <w:sz w:val="24"/>
                <w:szCs w:val="24"/>
              </w:rPr>
              <w:t>Приложение, включающее сведения об установленном стандартном ПО, зарегистрированном в  станции КЕГЭ , а также сведения о рабочей папке, с которой участник экзамена работает во время экзамена, которое выдается для каждой  станции КЕГЭ (на каждого участника в аудитории)</w:t>
            </w:r>
          </w:p>
        </w:tc>
      </w:tr>
      <w:tr>
        <w:trPr>
          <w:trHeight w:val="1264"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Рассадка</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Автоматизированное распределение участников экзаменов и организаторов по аудиториям, осуществляемое РЦОИ не ранее чем за 2 рабочих дня до проведения экзамена по соответствующему учебному предмету</w:t>
            </w:r>
          </w:p>
        </w:tc>
      </w:tr>
      <w:tr>
        <w:trPr>
          <w:trHeight w:val="723"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Руководитель организации</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Руководитель организации, в помещениях которой организован ППЭ, или уполномоченное им лицо</w:t>
            </w:r>
          </w:p>
        </w:tc>
      </w:tr>
      <w:tr>
        <w:trPr>
          <w:trHeight w:val="1015"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РЦОИ</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КГАУ «Камчатский центр информатизации и оценки качества образования», выполняющий функции регионального центра обработки информации</w:t>
            </w:r>
          </w:p>
        </w:tc>
      </w:tr>
      <w:tr>
        <w:trPr>
          <w:trHeight w:val="438"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Сеть «Интернет»</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Информационно-телекоммуникационная сеть «Интернет»</w:t>
            </w:r>
          </w:p>
        </w:tc>
      </w:tr>
      <w:tr>
        <w:trPr>
          <w:trHeight w:val="1590"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Система мониторинга готовности ППЭ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Интернет-ресурс, взаимодействующий со специализированным федеральным порталом в части отображения сведений о подготовке и проведении экзамена в ППЭ, а также обеспечивающий формирование отчетов на их основе для зарегистрированных пользователей регионального и федерального уровней</w:t>
            </w:r>
          </w:p>
        </w:tc>
      </w:tr>
      <w:tr>
        <w:trPr>
          <w:trHeight w:val="3000"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Специализированный федеральный портал</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left"/>
              <w:rPr>
                <w:spacing w:val="0"/>
                <w:kern w:val="0"/>
                <w:sz w:val="24"/>
                <w:szCs w:val="24"/>
              </w:rPr>
            </w:pPr>
            <w:r>
              <w:rPr>
                <w:spacing w:val="0"/>
                <w:kern w:val="0"/>
                <w:sz w:val="24"/>
                <w:szCs w:val="24"/>
              </w:rPr>
              <w:t>Федеральный портал распространения ключевой информации — интернет-ресурс, обеспечивающий передачу интернет-пакетов в ППЭ, авторизацию членов ГЭК, получение статусов подготовки и проведения экзамена, получение (регистрацию) электронных актов технической готовности станций, передачу ключей доступа к ЭМ в день проведения экзамена авторизованным членам ГЭК, получение электронных журналов работы станций ППЭ, получение от ППЭ и передачу в РЦОИ пакетов с электронными образами бланков участников и форм ППЭ, пакетов с ответами участников КЕГЭ, а также взаимодействие с системой мониторинга готовности ППЭ и личным кабинетом ППЭ</w:t>
            </w:r>
          </w:p>
        </w:tc>
      </w:tr>
      <w:tr>
        <w:trPr>
          <w:trHeight w:val="72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Станция 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Компьютер (ноутбук) с установленным на нем ПО «Станция КЕГЭ», за которым участник КЕГЭ проходит экзамен</w:t>
            </w:r>
          </w:p>
        </w:tc>
      </w:tr>
      <w:tr>
        <w:trPr>
          <w:trHeight w:val="1554"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Станция организатора</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Специализированное ПО, которое устанавливается на компьютерах в аудиториях, позволяет расшифровывать и распечатывать ЭМ, полученные в электронном виде, сканировать и зашифровывать бланки регистрации участников КЕГЭ и формы ППЭ, сканируемые в аудитории</w:t>
            </w:r>
          </w:p>
        </w:tc>
      </w:tr>
      <w:tr>
        <w:trPr>
          <w:trHeight w:val="910"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Токен</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Защищенный внешний носитель с записанным ключом шифрования</w:t>
            </w:r>
          </w:p>
        </w:tc>
      </w:tr>
      <w:tr>
        <w:trPr>
          <w:trHeight w:val="1544"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Участники экзамена с ОВЗ,</w:t>
            </w:r>
          </w:p>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участники экзамена</w:t>
            </w:r>
          </w:p>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 дети-инвалиды</w:t>
            </w:r>
          </w:p>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и инвалиды</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Участники экзаменов с ограниченными возможностями здоровья - дети-инвалиды и инвалиды</w:t>
            </w:r>
          </w:p>
        </w:tc>
      </w:tr>
      <w:tr>
        <w:trPr>
          <w:trHeight w:val="100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Черновик КЕГЭ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Структурированный черновик участника КЕГЭ для сдачи КЕГЭ, содержащий клетчатые поля для решения заданий и поля для записи ответов</w:t>
            </w:r>
          </w:p>
        </w:tc>
      </w:tr>
      <w:tr>
        <w:trPr>
          <w:trHeight w:val="718"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Черновики</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Листы бумаги для черновиков, выданные в ППЭ, со штампом организации, на базе которой расположен ППЭ</w:t>
            </w:r>
          </w:p>
        </w:tc>
      </w:tr>
      <w:tr>
        <w:trPr>
          <w:trHeight w:val="864"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Штаб ППЭ</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Выделенное в ППЭ помещение, оборудованное телефонной связью, принтером и компьютером</w:t>
            </w:r>
          </w:p>
        </w:tc>
      </w:tr>
      <w:tr>
        <w:trPr>
          <w:trHeight w:val="411"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ЭМ</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Бланки регистрации и КИМ для проведения КЕГЭ</w:t>
            </w:r>
          </w:p>
        </w:tc>
      </w:tr>
      <w:tr>
        <w:trPr>
          <w:trHeight w:val="422"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ЭР</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Экзаменационная работа</w:t>
            </w:r>
          </w:p>
        </w:tc>
      </w:tr>
      <w:tr>
        <w:trPr>
          <w:trHeight w:val="1709" w:hRule="exact"/>
        </w:trPr>
        <w:tc>
          <w:tcPr>
            <w:tcW w:w="2700"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bidi w:val="0"/>
              <w:spacing w:lineRule="auto" w:line="240" w:before="0" w:after="0"/>
              <w:ind w:hanging="0" w:left="170" w:right="0"/>
              <w:jc w:val="left"/>
              <w:rPr>
                <w:spacing w:val="0"/>
                <w:kern w:val="0"/>
                <w:sz w:val="24"/>
                <w:szCs w:val="24"/>
              </w:rPr>
            </w:pPr>
            <w:r>
              <w:rPr>
                <w:b/>
                <w:spacing w:val="0"/>
                <w:kern w:val="0"/>
                <w:sz w:val="24"/>
                <w:szCs w:val="24"/>
              </w:rPr>
              <w:t>Эталонный калибровочный лист</w:t>
            </w:r>
          </w:p>
        </w:tc>
        <w:tc>
          <w:tcPr>
            <w:tcW w:w="7776" w:type="dxa"/>
            <w:tcBorders>
              <w:top w:val="single" w:sz="4" w:space="0" w:color="000000"/>
              <w:left w:val="single" w:sz="4" w:space="0" w:color="000000"/>
              <w:bottom w:val="single" w:sz="4" w:space="0" w:color="000000"/>
              <w:right w:val="single" w:sz="4" w:space="0" w:color="000000"/>
            </w:tcBorders>
            <w:shd w:fill="FFFFFF" w:val="clear"/>
          </w:tcPr>
          <w:p>
            <w:pPr>
              <w:pStyle w:val="12"/>
              <w:widowControl w:val="false"/>
              <w:spacing w:lineRule="auto" w:line="240" w:before="0" w:after="0"/>
              <w:ind w:hanging="0" w:left="0" w:right="125"/>
              <w:jc w:val="both"/>
              <w:rPr>
                <w:spacing w:val="0"/>
                <w:kern w:val="0"/>
                <w:sz w:val="24"/>
                <w:szCs w:val="24"/>
              </w:rPr>
            </w:pPr>
            <w:r>
              <w:rPr>
                <w:spacing w:val="0"/>
                <w:kern w:val="0"/>
                <w:sz w:val="24"/>
                <w:szCs w:val="24"/>
              </w:rPr>
              <w:t>Тестовая страница границ печати, включённая в состав дистрибутива станции Штаба ППЭ и используемая для настройки сканера при проведении технической подготовки и при переводе в электронный вид форм ППЭ и (при необходимости) бланков регистрации</w:t>
            </w:r>
          </w:p>
        </w:tc>
      </w:tr>
    </w:tbl>
    <w:p>
      <w:pPr>
        <w:pStyle w:val="Normal"/>
        <w:rPr/>
      </w:pPr>
      <w:r>
        <w:rPr/>
      </w:r>
    </w:p>
    <w:p>
      <w:pPr>
        <w:pStyle w:val="Normal"/>
        <w:rPr/>
      </w:pPr>
      <w:r>
        <w:rPr/>
      </w:r>
    </w:p>
    <w:p>
      <w:pPr>
        <w:pStyle w:val="Heading1"/>
        <w:numPr>
          <w:ilvl w:val="0"/>
          <w:numId w:val="6"/>
        </w:numPr>
        <w:spacing w:lineRule="auto" w:line="240" w:before="0" w:after="0"/>
        <w:contextualSpacing/>
        <w:jc w:val="center"/>
        <w:rPr>
          <w:rFonts w:ascii="Times New Roman" w:hAnsi="Times New Roman"/>
        </w:rPr>
      </w:pPr>
      <w:r>
        <w:br w:type="page"/>
      </w:r>
      <w:bookmarkStart w:id="2" w:name="__RefHeading___1"/>
      <w:bookmarkStart w:id="3" w:name="bookmark3"/>
      <w:bookmarkStart w:id="4" w:name="bookmark4"/>
      <w:bookmarkStart w:id="5" w:name="bookmark5"/>
      <w:bookmarkStart w:id="6" w:name="bookmark2"/>
      <w:bookmarkEnd w:id="2"/>
      <w:r>
        <w:rPr>
          <w:rFonts w:ascii="Times New Roman" w:hAnsi="Times New Roman"/>
        </w:rPr>
        <w:t xml:space="preserve">Рекомендации по проведению ЕГЭ по информатике </w:t>
        <w:br/>
        <w:t>в компьютерной форме (КЕГЭ) в ППЭ</w:t>
      </w:r>
      <w:bookmarkEnd w:id="3"/>
      <w:bookmarkEnd w:id="4"/>
      <w:bookmarkEnd w:id="5"/>
      <w:bookmarkEnd w:id="6"/>
    </w:p>
    <w:p>
      <w:pPr>
        <w:pStyle w:val="Heading2"/>
        <w:numPr>
          <w:ilvl w:val="1"/>
          <w:numId w:val="6"/>
        </w:numPr>
        <w:spacing w:lineRule="auto" w:line="240" w:before="0" w:after="0"/>
        <w:contextualSpacing/>
        <w:jc w:val="center"/>
        <w:rPr>
          <w:rFonts w:ascii="Times New Roman" w:hAnsi="Times New Roman"/>
        </w:rPr>
      </w:pPr>
      <w:bookmarkStart w:id="7" w:name="__RefHeading___2"/>
      <w:bookmarkStart w:id="8" w:name="bookmark7"/>
      <w:bookmarkStart w:id="9" w:name="bookmark6"/>
      <w:bookmarkEnd w:id="7"/>
      <w:r>
        <w:rPr>
          <w:rFonts w:ascii="Times New Roman" w:hAnsi="Times New Roman"/>
        </w:rPr>
        <w:t>Общая информация</w:t>
      </w:r>
      <w:bookmarkEnd w:id="8"/>
      <w:bookmarkEnd w:id="9"/>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Общие требования к организации ППЭ содержатся в инструкциях по подготовке и проведению единого государственного экзамена в пунктах проведения экзаменов в 2026 году.</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Проведение КЕГЭ в ППЭ имеет ряд ключевых особенностей: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а) каждому участнику экзамена предоставляется автоматизированное рабочее место без выхода в сеть «Интернет» с установленным специализированным ПО «Станция КЕГЭ», набором стандартного ПО (текстовые редакторы, редакторы электронных таблиц, среды программирования на языках: C++, Pascal, Java, Python;)</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 участникам КЕГЭ разрешается использовать программу Microsoft Windows «Калькулятор», предназначенную для выполнения вычислительных операций, а также графический редактор Microsoft Paint;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в аудитории устанавливается станция организатора;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г) КИМ предоставляется только в электронном виде, ИК содержит только бланк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 КИМ на станцию КЕГЭ загружаются в электронном виде в ходе технической подготовки аналогично остальным экзаменам;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е) код активации экзамена участники экзамена вводят самостоятельно;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ж) все ответы вносятся участником экзамена в соответствующие поля в станции КЕГЭ и в дальнейшем экспортируются;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 время начала и окончания экзамена объявляется организатором и записывается на доске (информационном стенде);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 по окончании выполнения ЭР участник экзамена переносит в бланк регистрации контрольную сумму, которая отобразится на станции КЕГЭ, а организатор убеждается в правильности переноса</w:t>
      </w:r>
      <w:r>
        <w:rPr>
          <w:rFonts w:ascii="Times New Roman" w:hAnsi="Times New Roman"/>
        </w:rPr>
        <w:t xml:space="preserve"> </w:t>
      </w:r>
      <w:r>
        <w:rPr>
          <w:rFonts w:ascii="Times New Roman" w:hAnsi="Times New Roman"/>
        </w:rPr>
        <w:t>и удостоверяет</w:t>
      </w:r>
      <w:r>
        <w:rPr>
          <w:rFonts w:ascii="Times New Roman" w:hAnsi="Times New Roman"/>
          <w:spacing w:val="32"/>
        </w:rPr>
        <w:t xml:space="preserve"> </w:t>
      </w:r>
      <w:r>
        <w:rPr>
          <w:rFonts w:ascii="Times New Roman" w:hAnsi="Times New Roman"/>
        </w:rPr>
        <w:t>данное действие своей подписью на бланке регистрации участника в специально</w:t>
      </w:r>
      <w:r>
        <w:rPr>
          <w:rFonts w:ascii="Times New Roman" w:hAnsi="Times New Roman"/>
          <w:spacing w:val="-11"/>
        </w:rPr>
        <w:t xml:space="preserve"> </w:t>
      </w:r>
      <w:r>
        <w:rPr>
          <w:rFonts w:ascii="Times New Roman" w:hAnsi="Times New Roman"/>
        </w:rPr>
        <w:t>отведённом</w:t>
      </w:r>
      <w:r>
        <w:rPr>
          <w:rFonts w:ascii="Times New Roman" w:hAnsi="Times New Roman"/>
          <w:spacing w:val="-1"/>
        </w:rPr>
        <w:t xml:space="preserve"> </w:t>
      </w:r>
      <w:r>
        <w:rPr>
          <w:rFonts w:ascii="Times New Roman" w:hAnsi="Times New Roman"/>
        </w:rPr>
        <w:t>поле.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целях снижения нагрузки на зрение при сдаче экзамена, в том числе для уменьшения количества времени работы с экраном монитора, участникам экзамена предоставляется черновик КЕГЭ. Также на бумажном носителе предоставляется инструкция по использованию ПО для сдачи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Организаторы в аудитории подробно разъясняют участникам КЕГЭ правила работы за компьютером, в том числе необходимость периодически делать перерывы в работе непосредственно с монитором. Во время таких перерывов участники КЕГЭ могут продолжить работать над решением экзаменационных заданий, используя черновик КЕГЭ или черновики. Также участники КЕГЭ могут выполнять известные им упражнения для глаз.</w:t>
      </w:r>
    </w:p>
    <w:p>
      <w:pPr>
        <w:pStyle w:val="111"/>
        <w:spacing w:lineRule="auto" w:line="240" w:before="0" w:after="0"/>
        <w:ind w:firstLine="740" w:left="0" w:right="0"/>
        <w:contextualSpacing/>
        <w:jc w:val="both"/>
        <w:rPr>
          <w:rFonts w:ascii="Times New Roman" w:hAnsi="Times New Roman"/>
        </w:rPr>
      </w:pPr>
      <w:bookmarkStart w:id="10" w:name="bookmark8"/>
      <w:r>
        <w:rPr>
          <w:rFonts w:ascii="Times New Roman" w:hAnsi="Times New Roman"/>
        </w:rPr>
        <w:t>Рекомендуется первый такой перерыв сделать не позднее чем через полчаса после начала работы за компьютером, далее через каждые 20 минут. Решение о времени начала и окончания перерыва участник КЕГЭ принимает самостоятельно.</w:t>
      </w:r>
      <w:bookmarkEnd w:id="10"/>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2"/>
        <w:numPr>
          <w:ilvl w:val="1"/>
          <w:numId w:val="6"/>
        </w:numPr>
        <w:spacing w:lineRule="auto" w:line="240" w:before="0" w:after="0"/>
        <w:contextualSpacing/>
        <w:jc w:val="center"/>
        <w:rPr>
          <w:rFonts w:ascii="Times New Roman" w:hAnsi="Times New Roman"/>
        </w:rPr>
      </w:pPr>
      <w:bookmarkStart w:id="11" w:name="__RefHeading___3"/>
      <w:bookmarkStart w:id="12" w:name="bookmark9"/>
      <w:bookmarkStart w:id="13" w:name="bookmark10"/>
      <w:bookmarkEnd w:id="11"/>
      <w:r>
        <w:rPr>
          <w:rFonts w:ascii="Times New Roman" w:hAnsi="Times New Roman"/>
        </w:rPr>
        <w:t>Особенности организации ППЭ для проведения КЕГЭ и подготовки к экзамену</w:t>
      </w:r>
      <w:bookmarkEnd w:id="12"/>
      <w:bookmarkEnd w:id="13"/>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проведении КЕГЭ в аудиториях при подготовке помещений необходимо обратить внимание на соблюдение Санитарных правил</w:t>
      </w:r>
      <w:r>
        <w:rPr>
          <w:rStyle w:val="FootnoteReference"/>
          <w:rFonts w:ascii="Times New Roman" w:hAnsi="Times New Roman"/>
        </w:rPr>
        <w:footnoteReference w:id="2"/>
      </w:r>
      <w:r>
        <w:rPr>
          <w:rFonts w:ascii="Times New Roman" w:hAnsi="Times New Roman"/>
        </w:rPr>
        <w:t>, в части требований к организации рабочих мест с компьютером (ноутбуком).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Необходимо убедиться, что параметры электрических сетей организации, на базе которой расположен ППЭ, позволяют одновременно обеспечить электропитание для планируемого количества компьютеров с установленным ПО «Станция КЕГЭ», станциями организатора, подключённых к ним принтеров, и техники, расположенной в Штабе ППЭ (необходимо учитывать также дополнительных потребителей электроэнергии - осветительные приборы, системы охлаждения воздуха (при наличии), рециркуляторы и прочее).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обеспечения самостоятельного выполнения ЭР участниками экзамена желательно располагать рабочие места по периметру аудитории с посадкой спиной к центру аудитории при условии охвата всех рабочих мест участников экзамена и организаторов видеонаблюдением. При этом нумерацию рабочих мест можно осуществить в три ряда: все компьютеры (ноутбуки), расположенные вдоль одной стены, считать одним рядом, нумерацию мест в ряду осуществлять слева направо (стоя лицом к рассматриваемому ряду). Также необходимо учесть, что участники экзамена будут работать как с компьютером (ноутбуком), так и с бумажными носителями, таким образом, эргономика рабочего места обеспечивает комфортную работу как с ручкой и бумагой, так и с клавиатурой и мышью.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При подготовке компьютеров (ноутбуков) для участников экзамена устанавливается не только ПО «Станция КЕГЭ», но и набор стандартного ПО - текстовые процессоры, редакторы электронных таблиц, среды программирования (языки: C++, Pascal, Java, Python). Перечень стандартного ПО содержит не менее одной программы каждой категории (текстовые процессоры, редакторы электронных таблиц, среды программирования), но при этом обеспечивает участникам экзаменов работу над экзаменационными заданиями в привычных им программах (а также отвечает лицензионным требованиям).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Дистрибутивы стандартного ПО размещаются на технологической странице сайта gia41.ru.</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ППЭ средствами ПО «Станция КЕГЭ» выполняется загрузка перечень стандартного ПО</w:t>
      </w:r>
      <w:r>
        <w:rPr>
          <w:rFonts w:ascii="Times New Roman" w:hAnsi="Times New Roman"/>
        </w:rPr>
        <w:t xml:space="preserve"> </w:t>
      </w:r>
      <w:r>
        <w:rPr>
          <w:rFonts w:ascii="Times New Roman" w:hAnsi="Times New Roman"/>
        </w:rPr>
        <w:t>в электронном виде, на основе которого подготавливается перечень стандартного ПО</w:t>
      </w:r>
      <w:r>
        <w:rPr>
          <w:rFonts w:ascii="Times New Roman" w:hAnsi="Times New Roman"/>
        </w:rPr>
        <w:t>,</w:t>
      </w:r>
      <w:r>
        <w:rPr>
          <w:rFonts w:ascii="Times New Roman" w:hAnsi="Times New Roman"/>
        </w:rPr>
        <w:t xml:space="preserve"> установленного в ППЭ</w:t>
      </w:r>
      <w:r>
        <w:rPr>
          <w:rFonts w:ascii="Times New Roman" w:hAnsi="Times New Roman"/>
        </w:rPr>
        <w:t>.</w:t>
      </w:r>
      <w:r>
        <w:rPr>
          <w:rFonts w:ascii="Times New Roman" w:hAnsi="Times New Roman"/>
        </w:rPr>
        <w:t xml:space="preserve"> Подготовленный перечень стандартного ПО должен строго отражать набор программ, который был установлен на рабочие места участников экзамена (наименование,</w:t>
      </w:r>
      <w:r>
        <w:rPr>
          <w:rFonts w:ascii="Times New Roman" w:hAnsi="Times New Roman"/>
          <w:spacing w:val="-5"/>
        </w:rPr>
        <w:t xml:space="preserve"> </w:t>
      </w:r>
      <w:r>
        <w:rPr>
          <w:rFonts w:ascii="Times New Roman" w:hAnsi="Times New Roman"/>
        </w:rPr>
        <w:t>версия).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 проведении технической подготовки к КЕГЭ и для контроля технической готовности используется технический вариант КИМ КЕГЭ, содержащий набор типовых заданий демонстрационного варианта и инструкции по проведению проверки отображения текста КИМ, работоспособности интерфейса, корректности скачивания файлов к заданиям, возможности ввода и сохранения ответов, ввода табличных значений и т.д. на каждом компьютере (ноутбуке), используемом для проведения экзамена. Использование технического варианта КИМ позволяет сократить время на прохождение технической подготовки и контроля технической готовности.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Проверяется настройка и работоспособность не только ПО «Станция КЕГЭ», но и всех установленных программ из перечня стандартного ПО. При этом необходимо убедиться, что эти программы корректно работают при запущенном ПО «Станция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связи с тем, что в ходе экзамена проводится загрузка и активация ключа к ЭМ на большом количестве компьютеров в ограниченное время, а также проводятся другие технологические процедуры на этапах подготовки к экзамену и завершения экзамена, следует назначать в ППЭ увеличенное количество технических специалистов и членов ГЭК с токенами: 1 технический специалист и 1 член ГЭК на одну аудиторию с 15 рабочими местами участников экзамена (или на 2 аудитории с 8 рабочими местами участников экзамена) и дополнительно 1 технический специалист и 1 член ГЭК на ППЭ на случай возникновения нештатных ситуаций.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Для выполнения ЭР используются электронные КИМ, которые доставляются в ППЭ по сети «Интернет» в составе интернет-пакета, сформированного на основе сведений о распределенных по ППЭ участниках и аудиторном фонде ППЭ. Интернет-пакет содержит электронные КИМ и электронные бланки регистрации, которые загружаются на ПО «Станция КЕГЭ» и станции организатора соответственно во время технической подготовки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Во время выполнения заданий участники экзамена работают с черновиком КЕГЭ установленной формы.</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КЕГЭ подготавливаются заранее с учетом: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а) обеспечения тиражирования необходимого количества черновиков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 проставления на каждом листе черновика КЕГЭ штампа организации, на базе которой расположен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 КЕГЭ содержит справочную информацию о процедуре проведения КЕГЭ, а также отдельные сведения о структуре КИМ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 КЕГЭ выдается участнику вместе с бланком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аудитории ППЭ предусматриваются наличие черновиков. Черновики выдаются по запросу участника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 окончании экзамена данные, содержащие ответы участников экзамена, переносятся на флеш-накопители для сохранения ответов участников КЕГЭ с дальнейшим формированием на этом носителе зашифрованного пакета с ответами участников КЕГЭ для их передачи в РЦОИ. Количество флеш-накопителей определяется в соответствии с выбранной схемой сохранения ответов участников экзамена:</w:t>
      </w:r>
    </w:p>
    <w:p>
      <w:pPr>
        <w:pStyle w:val="111"/>
        <w:numPr>
          <w:ilvl w:val="0"/>
          <w:numId w:val="1"/>
        </w:numPr>
        <w:tabs>
          <w:tab w:val="clear" w:pos="708"/>
          <w:tab w:val="left" w:pos="1066" w:leader="none"/>
        </w:tabs>
        <w:spacing w:lineRule="auto" w:line="240" w:before="0" w:after="0"/>
        <w:ind w:firstLine="720" w:left="0" w:right="0"/>
        <w:contextualSpacing/>
        <w:jc w:val="both"/>
        <w:rPr>
          <w:rFonts w:ascii="Times New Roman" w:hAnsi="Times New Roman"/>
        </w:rPr>
      </w:pPr>
      <w:r>
        <w:rPr>
          <w:rFonts w:ascii="Times New Roman" w:hAnsi="Times New Roman"/>
        </w:rPr>
        <w:t>сохранение ответов с дальнейшим формированием пакета с ответами участников КЕГЭ для каждой аудитории. В этом случае для каждой аудитории (каждого пакета) нужен свой флеш-накопитель;</w:t>
      </w:r>
    </w:p>
    <w:p>
      <w:pPr>
        <w:pStyle w:val="111"/>
        <w:numPr>
          <w:ilvl w:val="0"/>
          <w:numId w:val="1"/>
        </w:numPr>
        <w:tabs>
          <w:tab w:val="clear" w:pos="708"/>
          <w:tab w:val="left" w:pos="1066" w:leader="none"/>
        </w:tabs>
        <w:spacing w:lineRule="auto" w:line="240" w:before="0" w:after="0"/>
        <w:ind w:firstLine="720" w:left="0" w:right="0"/>
        <w:contextualSpacing/>
        <w:jc w:val="both"/>
        <w:rPr>
          <w:rFonts w:ascii="Times New Roman" w:hAnsi="Times New Roman"/>
        </w:rPr>
      </w:pPr>
      <w:r>
        <w:rPr>
          <w:rFonts w:ascii="Times New Roman" w:hAnsi="Times New Roman"/>
        </w:rPr>
        <w:t xml:space="preserve">сохранение всех ответов и формирование единого пакета с ответами участников КЕГЭ всего ППЭ, в этом случае нужен один флеш-накопитель, содержащий </w:t>
      </w:r>
      <w:r>
        <w:rPr>
          <w:rFonts w:ascii="Times New Roman" w:hAnsi="Times New Roman"/>
          <w:b/>
        </w:rPr>
        <w:t xml:space="preserve">все ответы </w:t>
      </w:r>
      <w:r>
        <w:rPr>
          <w:rFonts w:ascii="Times New Roman" w:hAnsi="Times New Roman"/>
        </w:rPr>
        <w:t>участников экзамена, чтобы после сбора данных с ответами со всех станций КЕГЭ сформировать пакет;</w:t>
      </w:r>
    </w:p>
    <w:p>
      <w:pPr>
        <w:pStyle w:val="111"/>
        <w:numPr>
          <w:ilvl w:val="0"/>
          <w:numId w:val="1"/>
        </w:numPr>
        <w:tabs>
          <w:tab w:val="clear" w:pos="708"/>
          <w:tab w:val="left" w:pos="1066" w:leader="none"/>
        </w:tabs>
        <w:spacing w:lineRule="auto" w:line="240" w:before="0" w:after="0"/>
        <w:ind w:firstLine="720" w:left="0" w:right="0"/>
        <w:contextualSpacing/>
        <w:jc w:val="both"/>
        <w:rPr>
          <w:rFonts w:ascii="Times New Roman" w:hAnsi="Times New Roman"/>
        </w:rPr>
      </w:pPr>
      <w:r>
        <w:rPr>
          <w:rFonts w:ascii="Times New Roman" w:hAnsi="Times New Roman"/>
        </w:rPr>
        <w:t>сохранение ответов и формирование пакетов для нескольких аудиторий (при этом необходимо учитывать, что ответы из одной аудитории не должны быть сохранены на разных флеш-накопителях), в этом случае необходимо соблюдать общий принцип: количество флеш-накопителей соответствует количеству пакетов.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ППЭ, для которых допускается «бумажная» технология при проведении ЕГЭ по другим учебным предметам, при проведении КЕГЭ допустимо использовать один компьютер для станции организатора и ПО «Станция КЕГЭ».</w:t>
      </w:r>
    </w:p>
    <w:p>
      <w:pPr>
        <w:pStyle w:val="111"/>
        <w:spacing w:lineRule="auto" w:line="240" w:before="0" w:after="0"/>
        <w:ind w:firstLine="720" w:left="0" w:right="0"/>
        <w:contextualSpacing/>
        <w:jc w:val="both"/>
        <w:rPr>
          <w:rFonts w:ascii="Times New Roman" w:hAnsi="Times New Roman"/>
        </w:rPr>
      </w:pPr>
      <w:bookmarkStart w:id="14" w:name="bookmark11"/>
      <w:r>
        <w:rPr>
          <w:rFonts w:ascii="Times New Roman" w:hAnsi="Times New Roman"/>
        </w:rPr>
        <w:t>После проведения экзамена, сбора и передачи данных с ответами участников экзамена все файлы, созданные или измененные участниками экзамена на компьютерах, где проводился экзамен, безвозвратно удаляются. Рекомендуется переустановка сред программирования.</w:t>
      </w:r>
      <w:bookmarkEnd w:id="14"/>
    </w:p>
    <w:p>
      <w:pPr>
        <w:pStyle w:val="111"/>
        <w:spacing w:lineRule="auto" w:line="240" w:before="0" w:after="0"/>
        <w:ind w:firstLine="720" w:left="0" w:right="0"/>
        <w:contextualSpacing/>
        <w:jc w:val="both"/>
        <w:rPr>
          <w:rFonts w:ascii="Times New Roman" w:hAnsi="Times New Roman"/>
        </w:rPr>
      </w:pPr>
      <w:r>
        <w:rPr>
          <w:rFonts w:ascii="Times New Roman" w:hAnsi="Times New Roman"/>
        </w:rPr>
      </w:r>
    </w:p>
    <w:p>
      <w:pPr>
        <w:pStyle w:val="Heading2"/>
        <w:numPr>
          <w:ilvl w:val="1"/>
          <w:numId w:val="6"/>
        </w:numPr>
        <w:spacing w:lineRule="auto" w:line="240" w:before="0" w:after="0"/>
        <w:contextualSpacing/>
        <w:jc w:val="center"/>
        <w:rPr>
          <w:rFonts w:ascii="Times New Roman" w:hAnsi="Times New Roman"/>
        </w:rPr>
      </w:pPr>
      <w:bookmarkStart w:id="15" w:name="__RefHeading___4"/>
      <w:bookmarkStart w:id="16" w:name="bookmark12"/>
      <w:bookmarkStart w:id="17" w:name="bookmark13"/>
      <w:bookmarkEnd w:id="15"/>
      <w:r>
        <w:rPr>
          <w:rFonts w:ascii="Times New Roman" w:hAnsi="Times New Roman"/>
        </w:rPr>
        <w:t>Инструкция для технического специалиста</w:t>
      </w:r>
      <w:bookmarkEnd w:id="16"/>
      <w:bookmarkEnd w:id="17"/>
    </w:p>
    <w:p>
      <w:pPr>
        <w:pStyle w:val="111"/>
        <w:spacing w:lineRule="auto" w:line="240" w:before="0" w:after="0"/>
        <w:ind w:firstLine="720" w:left="0" w:right="0"/>
        <w:contextualSpacing/>
        <w:jc w:val="center"/>
        <w:rPr>
          <w:rFonts w:ascii="Times New Roman" w:hAnsi="Times New Roman"/>
        </w:rPr>
      </w:pPr>
      <w:r>
        <w:rPr>
          <w:rFonts w:ascii="Times New Roman" w:hAnsi="Times New Roman"/>
          <w:b/>
        </w:rPr>
        <w:t>Подготовительный этап проведения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чем за 2 недели </w:t>
      </w:r>
      <w:r>
        <w:rPr>
          <w:rFonts w:ascii="Times New Roman" w:hAnsi="Times New Roman"/>
        </w:rPr>
        <w:t>до начала экзаменационного периода (до проведения проверки готовности ППЭ членом ГЭК) технический специалист проводит подготовку ППЭ для обеспечения процедуры доставки (скачивания) ЭМ по сети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а) получает из РЦОИ реквизиты доступа в личный кабинет</w:t>
      </w:r>
      <w:r>
        <w:rPr>
          <w:rFonts w:ascii="Times New Roman" w:hAnsi="Times New Roman"/>
          <w:spacing w:val="-5"/>
        </w:rPr>
        <w:t xml:space="preserve"> </w:t>
      </w:r>
      <w:r>
        <w:rPr>
          <w:rFonts w:ascii="Times New Roman" w:hAnsi="Times New Roman"/>
        </w:rPr>
        <w:t>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 проверяет соответствие технических характеристик компьютеров (ноутбуков) в Штабе ППЭ, предназначенных для</w:t>
      </w:r>
      <w:r>
        <w:rPr>
          <w:rFonts w:ascii="Times New Roman" w:hAnsi="Times New Roman"/>
        </w:rPr>
        <w:t xml:space="preserve"> </w:t>
      </w:r>
      <w:r>
        <w:rPr>
          <w:rFonts w:ascii="Times New Roman" w:hAnsi="Times New Roman"/>
        </w:rPr>
        <w:t>работы с личным кабинетом ППЭ, предъявляемым требованиям (основного и резервного);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устанавливает в браузере на компьютерах (ноутбуках), предназначенных для работы с личным кабинетом ППЭ, криптосредства для работы с токеном члена ГЭК.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Личный кабинет ППЭ обеспечивает функции взаимодействия со специализированным    федеральным порталом в части получения интернет-пакетов, авторизации членов ГЭК, передачи электронных актов технической готовности и  журналов работы станции, получения ключей доступа к ЭМ, получения от ППЭ и передачи в РЦОИ пакетов с электронными образами бланков и  форм ППЭ, пакетов с ответами участников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Доступ к личному кабинету ППЭ может быть обеспечен с любого компьютера (ноутбука), установленного в Штабе ППЭ и имеющего доступ в сеть «Интернет», технический специалист имеет доступ к личным кабинетам всех ППЭ, в которых имеет назначение на экзамен в конкретную дату.</w:t>
      </w:r>
    </w:p>
    <w:p>
      <w:pPr>
        <w:pStyle w:val="111"/>
        <w:spacing w:lineRule="auto" w:line="240" w:before="0" w:after="0"/>
        <w:ind w:firstLine="720" w:left="0" w:right="0"/>
        <w:contextualSpacing/>
        <w:jc w:val="both"/>
        <w:rPr>
          <w:rFonts w:ascii="Times New Roman" w:hAnsi="Times New Roman"/>
        </w:rPr>
      </w:pPr>
      <w:r>
        <w:rPr>
          <w:rFonts w:ascii="Times New Roman" w:hAnsi="Times New Roman"/>
          <w:u w:val="single"/>
        </w:rPr>
        <w:t>На компьютерах (ноутбуках), предназначенных для доступа в личный кабинет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а) проверяет наличие соединения с личным кабинетом ППЭ по основному и резервному каналам доступа в сеть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 в случае использования ЗСПД ГИА: проверяет наличие связи через VipNet Client с ЗСПД ГИА по основному и резервному каналам связи сети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в личном кабинете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указывает тип основного и резервного каналов доступа в сеть «Интернет» (либо зафиксировать отсутствие резервного канала доступа в сеть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рамках проверки готовности ППЭ предлагает члену ГЭК выполнить авторизацию с помощью токена члена ГЭК: по результатам авторизации убедиться в работоспособности криптосредств;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обеспечивает получение интернет-пакетов: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личном кабинете ППЭ скачивает доступный интернет-пакет;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полученный интернет-пакет сохраняет на основной и резервный флеш-накопители для хранения интернет-пакетов;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передает основной и резервный флеш-накопители для хранения резервных копий интернет-пакетов руководителю ППЭ на хранение в сейфе в Штабе ППЭ. Хранение осуществляется с использованием мер информационной безопасности.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Интернет-пакеты становятся доступны за 5 рабочих дней до даты экзамена - для основных дней экзаменационного периода, за 3 рабочих дня - для резервных дней экзаменационного периода и формируются на основе сведений о распределённых по ППЭ участниках и аудиторном фонде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После скачивания интернет-пакета (пакетов) на новую дату и предмет: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 получает от руководителя ППЭ основной и резервный флеш-накопители для хранения интернет-пакетов;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 сохраняет новые интернет-пакеты на основной и резервный флеш-накопители для хранения интернет-пакетов;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передает основной и резервный флеш-накопители для хранения интернет-пакетов руководителю ППЭ на хранение в сейфе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Интернет-пакеты на каждую дату и предмет экзамена должны быть скачаны до начала технической подготовки к соответствующему экзамену.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2 недели до КЕГЭ </w:t>
      </w:r>
      <w:r>
        <w:rPr>
          <w:rFonts w:ascii="Times New Roman" w:hAnsi="Times New Roman"/>
        </w:rPr>
        <w:t>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 получает из РЦОИ перечень стандартного ПО, предоставляемого участнику КЕГЭ во время экзамена, и дистрибутивы этого ПО (текстовые редакторы, редакторы электронных таблиц, среды программирования на языках: C++, Pascal, Java, Python);</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 проверяет соответствие технических характеристик компьютеров (ноутбуков), на которые будет установлено ПО «Станция КЕГЭ», предъявляемым требованиям для установки ПО «Станция КЕГЭ», а также минимальным требованиям, обеспечивающим стабильную работу версий стандартного ПО, предоставляемого участнику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устанавливает</w:t>
      </w:r>
      <w:r>
        <w:rPr>
          <w:rStyle w:val="FootnoteReference"/>
          <w:rFonts w:ascii="Times New Roman" w:hAnsi="Times New Roman"/>
          <w:vertAlign w:val="superscript"/>
        </w:rPr>
        <w:footnoteReference w:id="3"/>
      </w:r>
      <w:r>
        <w:rPr>
          <w:rFonts w:ascii="Times New Roman" w:hAnsi="Times New Roman"/>
        </w:rPr>
        <w:t xml:space="preserve"> (начинает установку) на компьютеры (ноутбуки), предназначенные для использования в качестве станций КЕГЭ, стандартное ПО, предоставляемое участнику КЕГЭ во время экзамена (текстовые редакторы, редакторы электронных таблиц, среды программирования на языках: C++, Pascal, Java, Python) в соответствии с перечнем, полученным из РЦОИ;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г) размещает ярлыки для запуска ПО на рабочем столе операционной системы.</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чем за 5 календарных дней до проведения первого КЕГЭ </w:t>
      </w:r>
      <w:r>
        <w:rPr>
          <w:rFonts w:ascii="Times New Roman" w:hAnsi="Times New Roman"/>
        </w:rPr>
        <w:t>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получает из РЦОИ следующие материалы: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дистрибутивы ПО: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«Станция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станция Штаба ППЭ (используется для сканирования форм ППЭ в Штабе ППЭ, для формирования ключа по паролю в случае отсутствия доступа в сеть «Интернет» в день проведения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перечень стандартного ПО в электронном виде в формате, доступном для загрузки на станцию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инструкцию по использованию ПО для сдачи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 соответствие технических характеристик компьютеров (ноутбуков) в аудиториях и Штабе ППЭ, а также резервных компьютеров (ноутбуков) предъявляемым требованиям;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присваивает всем компьютерам (ноутбукам), включая резервные, уникальный в рамках ППЭ номер компьютера (ноутбука) на весь период проведения экзаменов (если не был присвоен ранее);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 соответствие технических характеристик основных и резервных лазерных принтеров, сканеров предъявляемым требованиям;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устанавливает полученное ПО на все компьютеры (ноутбуки), предназначенные для использования при проведении экзаменов, включая резервные, при этом после установки дистрибутива станции для печати при указании региона будет автоматически развёрнута станция организатора;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подключает необходимое оборудование: для станции организатора – локальный лазерный принтер и сканер; для станции Штаба ППЭ – сканер и локальный лазерный принтер (для печати сопроводительной документации).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Основная станция Штаба ППЭ должна быть установлена на отдельном компьютере (ноутбуке), не имеющем подключений к сети «Интернет» на период сканирования, резервная станция Штаба ППЭ в случае необходимости может быть совмещена с другой резервной станцией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Выполняет предварительную настройку компьютеров (ноутбуков): внести код региона, код ППЭ, уникальный в рамках ППЭ номер компьютера (ноутбука) в установленное ПО (в случае использования компьютера (ноутбука) для установки нескольких видов ПО номер компьютера (ноутбука) должен совпадать), код МСУ (только для станции организатора).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случае использования нового дополнительного компьютера (ноутбука) или замены новым компьютером (ноутбуком) ранее использовавшегося, ему присваивается новый уникальный для ППЭ номер, не совпадающий с ранее использовавшимися.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Перед каждым экзаменом проводится </w:t>
      </w:r>
      <w:r>
        <w:rPr>
          <w:rFonts w:ascii="Times New Roman" w:hAnsi="Times New Roman"/>
          <w:b/>
        </w:rPr>
        <w:t xml:space="preserve">техническая подготовка </w:t>
      </w:r>
      <w:r>
        <w:rPr>
          <w:rFonts w:ascii="Times New Roman" w:hAnsi="Times New Roman"/>
        </w:rPr>
        <w:t>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До проведения технической подготовки технический специалист должен получить из РЦОИ информацию о номерах задействованных аудиторий и количестве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каждого участника подготавливается индивидуальная станция КЕГЭ, на дату экзамена на одном компьютере предусмотрено выполнение ЭР только одним участником.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ранее чем за 5 календарных дней, но не позднее 16:00 по местному времени </w:t>
      </w:r>
      <w:r>
        <w:rPr>
          <w:rFonts w:ascii="Times New Roman" w:hAnsi="Times New Roman"/>
        </w:rPr>
        <w:t xml:space="preserve">календарного дня, предшествующего экзамену, и </w:t>
      </w:r>
      <w:r>
        <w:rPr>
          <w:rFonts w:ascii="Times New Roman" w:hAnsi="Times New Roman"/>
          <w:u w:val="single"/>
        </w:rPr>
        <w:t>до</w:t>
      </w:r>
      <w:r>
        <w:rPr>
          <w:rFonts w:ascii="Times New Roman" w:hAnsi="Times New Roman"/>
        </w:rPr>
        <w:t xml:space="preserve"> проведения контроля технической готовности технический специалист завершает техническую подготовку ППЭ к экзамену: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на компьютере (ноутбуке), предназначенном для работы в личном кабинете ППЭ: </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проверяет наличие соединения с личным кабинетом ППЭ по основному и резервному каналам доступа в сеть «Интернет»; </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случае использования ЗСПД ГИА: проверяет наличие связи через VipNet Client с ЗСПД ГИА по основному и резервному каналам связи сети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 личном кабинете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при необходимости корректирует, тип основного и резервного каналов доступа в сеть «Интернет» (либо зафиксировать отсутствие резервного канала доступа в сеть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Запрашивает и получает у руководителя ППЭ переданный на хранение основной флеш-накопитель для хранения интернет-пакетов, в случае неработоспособности основного флеш-накопителя для хранения интернет-пакетов использует резервный флеш-накопитель для хранения интернет-пакетов;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каждой станции КЕГЭ в каждой аудитории, назначенной на экзамен, и резервных станциях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 проверяет, при необходимости корректирует: код региона, код ППЭ, номер компьютера (ноутбука)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 вносит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г) загружает файл интернет-пакета с флеш-накопителя для хранения интернет-пакетов в соответствии с настройками даты и учебного предмета;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 выполняет создание рабочей папки экзамена (указывает путь к корневой папке для создания рабочей папки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е) проверяет корректность функционирования интерфейса ПО «Станция КЕГЭ» в части работы с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текст типовых экзаменационных заданий КЕГЭ четкий и хорошо читаемый, элементы управления (кнопки, таблица для ввода ответа) не мешают отображению текста типовых экзаменационных заданий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ввода и сохранения ответа на стандартное задание и на задание с ответом в табличном виде;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сохранения прилагаемых файлов к заданиям, сохраненные файлы содержатся в рабочей папке;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кнопки вызова инструкции в ПО и сворачивания станции работоспособны;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ж) проверяет, что установленное ранее стандартное ПО корректно работает при запущенной ПО «Станция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з) регистрирует (проверяет регистрацию) стандартное ПО в станции КЕГЭ: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стандартный перечень ПО в формате, доступном для загрузки в станцию КЕГЭ, при необходимости корректирует его;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если перечень ПО был загружен ранее, то убеждается в его актуальности.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каждой категории стандартного ПО из числа включённых в Спецификацию КИМ обязательно должно быть указано наименование ПО. В случае отсутствия регистрации любой категории ПО техническая подготовка не может быть завершена;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каждого языка программирования из числа включенных в Спецификацию КИМ должна быть зарегистрирована среда программирования. В случае отсутствия регистрации среды программирования для какого-либо языка программирования выдается уведомление об этом, но техническая подготовка может быть завершена.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Количество версий стандартного ПО для каждой категории не ограничивается и может быть любым.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Если станции КЕГЭ используются для следующих дней проведения КЕГЭ необходимо безвозвратно удалить сохраненные файлы (в т.ч. из корзины), созданные в ходе выполнения экзаменационных заданий участниками КЕГЭ в предыдущие дни проведения 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каждой станции организатора</w:t>
      </w:r>
      <w:r>
        <w:rPr>
          <w:rFonts w:ascii="Times New Roman" w:hAnsi="Times New Roman"/>
        </w:rPr>
        <w:t xml:space="preserve"> в каждой аудитории, назначенной на экзамен, и резервных станциях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при необходимости корректирует: код региона, код ППЭ (впечатываются в бланки регистрации участников экзамена), код МСУ, номер компьютера (ноутбука)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вносит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файл интернет-пакета с флеш-накопителя для хранения интернет-пакетов в соответствии с настройками даты и учебного предмета;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оценивает достаточность ресурса картриджа для проведения экзамена (в дальнейшем проводится в рамках контроля технической готовности);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печать калибровочного листа (тестовую печать границ) и тестового бланка регистрации, убеждается в качестве печати: все напечатанные границы видны, на тестовом бланке регистрации и калибровочном листе отсутствуют белые и темные полосы; черные квадраты (реперы), штрихкоды и QR-код, текст хорошо читаем и четко пропечатан; знакоместа на бланке регистрации четко видны. Напечатанные тестовые бланки регистрации со всех станций организатора, включая резервные, предъявляются члену ГЭК при проведении контроля технической готовности;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принимает меры по настройке необходимого качества печати и при необходимости по замене картриджа принтера;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калибровку сканера с использованием напечатанного на станции организатора калибровочного листа (тестовой страницы печати границ);</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получает от руководителя ППЭ или руководителя организации достаточное количество бумаги для печати бланков регистрации в каждой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основной и резервной станциях Штаба ППЭ, установленных в Штабе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при необходимости корректирует: код региона, код ППЭ, номер компьютера (ноутбука) - уникальный для ППЭ номер компьютера (ноутбука), признак резервной станции для резервной станции;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обеспечения сканирования при проведении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вводит сведения об экзамене: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распечатывает тестовые формы 13-03-К, ППЭ-12-04-МАШ, ППЭ-18-МАШ (доступны в виде файла по ссылке в станции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калибровку сканера с использованием эталонного калибровочного листа (доступен в виде файла по ссылке в станции Штаба ППЭ и должен быть распечатан до начала калибровки сканера);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выполнить тестовое сканирование всех тестовых бланков регистрации, напечатанных на всех станциях организатора, включая резервные, и тестовых форм ППЭ- 13-03-К, ППЭ-12-04-МАШ, ППЭ-18-МАШ;</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оценивает качество сканирования: все бланки регистрации и формы успешно распознаны и не отмечены как некачественные, черные квадраты (реперы), штрихкоды и QR-код хорошо читаемы, знакоместа на бланках регистрации не слишком яркие;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принимает меры по настройке принтера на станции организатора, на которой напечатаны тестовые бланки регистрации недостаточного качества (при необходимости);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сохраняет тестовый пакет сканирования с отсканированными тестовыми бланками регистрации и формами ППЭ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 личном кабинете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тестовые пакеты сканирования основной и резервной станций Штаба ППЭ в ЛК ППЭ (статус пакетов принимает значение «Подготовлен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передает успешно загруженные тестовые пакеты в РЦОИ (статус пакетов принимает значение «Направлен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i/>
        </w:rPr>
        <w:t>Подготавливает и проверяет дополнительное (резервное) оборудование, необходимое для проведения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Штаба ППЭ либо принтер, подключённый к любой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основные и резервные флеш-накопители для сохранения ответов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основной и резервный флеш-накопители для переноса данных между станциями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USB-модем для обеспечения резервного канала доступа в сеть «Интернет». USB- модем используется в случае возникновения проблем с доступом в сеть «Интернет» по основному стационарному каналу связи;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картриджи для принтеров;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лазерные принтеры и сканеры, дополнительно к настроенным резервным станциям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кабели для подключения принтеров и сканеров к компьютерам (ноутбукам).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технической подготовки в аудиториях и Штабе ППЭ технический специалист в личном кабинете ППЭ передает статус «Техническая подготовка завершена»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ранее чем за 2 рабочих дня, но не позднее 16:00 по местному времени </w:t>
      </w:r>
      <w:r>
        <w:rPr>
          <w:rFonts w:ascii="Times New Roman" w:hAnsi="Times New Roman"/>
        </w:rPr>
        <w:t>календарного дня, предшествующего экзамену</w:t>
      </w:r>
      <w:r>
        <w:rPr>
          <w:rFonts w:ascii="Times New Roman" w:hAnsi="Times New Roman"/>
          <w:b/>
        </w:rPr>
        <w:t xml:space="preserve">, </w:t>
      </w:r>
      <w:r>
        <w:rPr>
          <w:rFonts w:ascii="Times New Roman" w:hAnsi="Times New Roman"/>
        </w:rPr>
        <w:t xml:space="preserve">необходимо совместно с членами ГЭК и руководителем ППЭ проводит </w:t>
      </w:r>
      <w:r>
        <w:rPr>
          <w:rFonts w:ascii="Times New Roman" w:hAnsi="Times New Roman"/>
          <w:b/>
        </w:rPr>
        <w:t xml:space="preserve">контроль технической готовности </w:t>
      </w:r>
      <w:r>
        <w:rPr>
          <w:rFonts w:ascii="Times New Roman" w:hAnsi="Times New Roman"/>
        </w:rPr>
        <w:t>ППЭ к проведению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получает от РЦОИ формы ППЭ-01 и ППЭ-01-01-К;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тиражирование и передает руководителю ППЭ инструкции по использованию ПО для сдачи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тиражирование и передает руководителю ППЭ черновики КЕГЭ. Необходимо обеспечить одностороннюю печать черновиков КЕГЭ, т.к. участники экзамена могут использовать оборотную сторону для записей;</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компьютере (ноутбуке), предназначенном для работы в личном кабинете ППЭ</w:t>
      </w:r>
      <w:r>
        <w:rPr>
          <w:rFonts w:ascii="Times New Roman" w:hAnsi="Times New Roman"/>
        </w:rPr>
        <w:t xml:space="preserve">: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проверяет наличие соединения с личным кабинетом ППЭ по основному и резервному каналам доступа в сеть «Интернет»;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использования ЗСПД ГИА: проверяет наличие связи через VipNet Client с ЗСПД ГИА по основному и резервному каналам связи сети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в личном кабинете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при необходимости уточняет: тип основного и резервного каналов доступа в сеть «Интернет» (либо зафиксировать отсутствие резервного канала доступа в сеть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предлагает всем членам ГЭК, назначенным на экзамен, выполнить авторизацию с помощью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результатам авторизации убеждается, что все члены ГЭК имеют назначение на экзамен;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скачивает пакет с сертификатами специалистов РЦОИ для загрузки на все станции КЕГЭ, все станции организатора ППЭ, включая основные и резервные;</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каждой станции организатора</w:t>
      </w:r>
      <w:r>
        <w:rPr>
          <w:rFonts w:ascii="Times New Roman" w:hAnsi="Times New Roman"/>
        </w:rPr>
        <w:t xml:space="preserve"> в каждой аудитории, назначенной на экзамен, и резервных станциях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проверить настройки станции: код региона, код ППЭ (впечатываются в бланки регистрации участников экзаменов), номер компьютера (ноутбука)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по соответствующему учебному предмету: номер аудитории (для резервных станций номер аудитории не указывается), признак резервной станции для резервной станции, период проведения экзаменов,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загруженного интернет-пакета;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печать калибровочного листа (тестовую печать границ) в присутствии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предоставляет члену ГЭК напечатанный во время технической подготовки тестовый бланк регистрации. Член ГЭК оценивает качество печати калибровочного листа и тестового бланка регистрации по усмотрению члена ГЭК тестовый бланк регистрации может быть напечатан в его присутствии;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калибровку сканера с использованием напечатанного на станции организатора калибровочного листа (тестовой страницы печати границ) в присутствии члена ГЭК для демонстрации работоспособности сканера и его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Напечатанный калибровочный лист (тестовая страница печати границ) передается руководителю ППЭ для последующей передачи организаторам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предлагает члену ГЭК подключить к станции организатора токен члена ГЭК и ввести пароль доступа к нему. Каждый член ГЭК должен убедиться в работоспособности своего токена хотя бы на одной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печатает протокол технической готовности аудитории для печати полного комплекта ЭМ в аудитории ППЭ (форма ППЭ-01-01);</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сохраняет на флеш-накопитель для переноса данных между станциями ППЭ электронный акт технической готовности для последующей передачи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достаточного количества бумаги для печати бланков регистрации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Не рекомендуется перемещать станцию организатора с подключенным принтером и сканером или отключать принтер и сканер от компьютера (ноутбука) после завершения контроля технической готовности.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каждой станции КЕГЭ</w:t>
      </w:r>
      <w:r>
        <w:rPr>
          <w:rFonts w:ascii="Times New Roman" w:hAnsi="Times New Roman"/>
        </w:rPr>
        <w:t xml:space="preserve"> в каждой аудитории, назначенной на экзамен, и резервных станциях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станции: код региона, код ППЭ, номер компьютера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 наличие загруженного интернет-пакета;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заданного пути к корневой папке для создания рабочей папки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рабочей папки экзамена по указанному адресу;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проводит контроль корректности функционирования станции КЕГЭ в части работы с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текст типовых экзаменационных заданий КЕГЭ четкий и хорошо читаемый, элементы управления (кнопки, таблица для ввода ответа) не мешают отображению текста типовых экзаменационных заданий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ввода и сохранения ответа на стандартное задание и на задание с ответом в табличном виде;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сохранения прилагаемых файлов к заданиям, сохраненные файлы содержатся в рабочей папке;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кнопки вызова инструкции в ПО и сворачивания станции работоспособны.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Убеждается в наличии стандартного ПО, предоставляемого участнику экзамена во время экзамена (текстовые редакторы, редакторы электронных таблиц, среды программирования на языках: C++, Pascal, Java, Python) в соответствии с перечнем, полученным из РЦОИ, и проверяет его работоспособность одновременно со станцией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убеждается, что на станции КЕГЭ зарегистрировано установленное на компьютере (ноутбуке) стандартное ПО, и что список зарегистрированных на станции КЕГЭ программ в точности совпадает с тем ПО, которое установлено на проверяемом компьютере (ноутбуке);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предложить члену ГЭК подключить к станции КЕГЭ токен члена ГЭК и ввести пароль доступа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сохраняет код активации экзамена (кроме резервных станций КЕГЭ) и передает руководителю ППЭ для предоставления организаторам в аудитории (код активации экзамена одинаковый для всех станций КЕГЭ в одной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заполняет и сохраняет на флеш-накопитель для переноса данных между станциями ППЭ паспорт станции КЕГЭ, а также электронный акт технической готовности для передачи в систему мониторинга готовности ППЭ. Сведения об установленном стандартном ПО, зарегистрированном в станции КЕГЭ, сохраняются в электронном акте технической готовности станции КЕГЭ, а также включаются в приложение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отсутствие (при наличии – удаляет) в рабочей папке экзамена (а также в корзине), всех файлов, сохраненных и/или созданных в ходе технической подготовки или во время предыдущих экзаменов.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основной и резервной станциях Штаба ППЭ, установленных в Штабе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станции: код региона, код ППЭ, номер компьютера (ноутбука) - уникальный для ППЭ номер компьютера (ноутбука), признак резервной станции для резервной станции;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по учебному предмету: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выполняет тестовое сканирование не менее одного из предоставленных тестовых бланков регистрации повторно, а также (при наличии) напечатанных по решению члена ГЭК тестовых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оценивает качество сканирования тестовых бланков регистрации и форм ППЭ: все бланки регистрации и формы ППЭ успешно распознаны и не отмечены как некачественные; черные квадраты (реперы), штрихкоды и QR-код, текст хорошо читаемы, знакоместа на бланках регистрации не слишком яркие;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предложить члену ГЭК подключить к станции Штаба ППЭ токен члена ГЭК и ввести пароль доступа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сохраняет на флеш-накопитель для переноса данных между станциями ППЭ протокол технической готовности Штаба ППЭ для сканирования бланков в ППЭ (форма ППЭ-01-02) и электронный акт технической готовности для последующей передачи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Проверяет наличие дополнительного (резервного) оборудования, необходимого для проведения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Штаба ППЭ либо принтер, подключённый к любой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основные и резервные флеш-накопители для переноса данных между станциями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основные и резервные флеш-накопители для сохранения ответов участников КЕГЭ (если указанные флеш-накопители не предоставляются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USB-модем для обеспечения резервного канала доступа в сеть «Интернет». USB-модем используется в случае возникновения проблем с доступом в сеть «Интернет» по основному стационарному каналу связи;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картриджи для принтеров;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лазерные принтеры и сканеры, дополнительно к настроенным резервным станциям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кабели для подключения принтеров и сканеров к компьютерам (ноутбукам).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контроля технической готовности аудиторий и Штаба ППЭ к экзамену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печатает и подписывает паспорта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передает для каждого участника КЕГЭ приложения к паспорту станции КЕГЭ (на каждую станцию КЕГЭ, включая резервные) руководителю ППЭ для дальнейшей выдачи организаторам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подписывает протокол (протоколы) технической готовности аудиторий (форма ППЭ- 01-01), напечатанные тестовые бланки регистрации являются приложением к соответствующему протоколу;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печатает и подписывает протокол (протоколы) технической готовности Штаба ППЭ (форма ППЭ-01-02);</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Подписанные паспорта и протоколы остаются на хранение в ППЭ.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заполняет и подписывает форму ППЭ-01-01-К;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передает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сформированные по окончании контроля технической готовности электронные акты технической готовности со всех основных и резервных станций КЕГЭ, станций организатора и станций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статус «Контроль технической готовности завершён».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После завершения контроля технической готовности все станции необходимо </w:t>
      </w:r>
      <w:r>
        <w:rPr>
          <w:rFonts w:ascii="Times New Roman" w:hAnsi="Times New Roman"/>
          <w:b/>
        </w:rPr>
        <w:t>закрыть.</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Акты основных станций могут быть переданы только при условии наличия на специализированном федеральном портале сведений о рассадке. Статус «Контроль технической готовности завершен» может быть передан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всех основных станций организатора и всех основных станций КЕГЭ в соответствии с количеством назначенных участников для каждой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После передачи статуса «Контроль технической готовности завершён» передача электронных актов технической готовности с любых основных станций запрещена. В случае необходимости передать новые акты необходимо сначала отменить статус «Контроль технической готовности завершён», далее передать акты и установить статус заново.</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этапе проведения экзамена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позднее 09:00 по местному времени проверяет доступ к личному кабинету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позднее 09:00 по местному времени запускает ПО «Станция КЕГЭ» во всех аудиториях;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позднее 09:00 по местному времени запускает станции организатора во всех аудиториях, включает подключенные к ним принтер и сканер, проверяет печать на выбранном принтере средствами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В случае необходимости использования в день экзамена станции организатора или станции КЕГЭ, для которой не был направлен акт технической готовности, необходимо выполнить настройку данной станции как резервной и передать акт технической готовности до начала экзамена. Для расшифровки ЭМ на данной станции потребуется запрос резервного ключа доступа к ЭМ. В день проведения экзамена доступна регистрация (передача акта) только резервных станций организатора и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поручению руководителя ППЭ получает и распечатывает в присутствии члена ГЭК пакет руководителя ППЭ – в случае использования электронной версии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 09:30 </w:t>
      </w:r>
      <w:r>
        <w:rPr>
          <w:rFonts w:ascii="Times New Roman" w:hAnsi="Times New Roman"/>
        </w:rPr>
        <w:t>по местному времени в Штабе ППЭ в личном кабинете ППЭ скачивает ключ доступа к ЭМ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записывает ключ доступа к ЭМ на флеш-накопитель для переноса данных между станциями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ключ доступа к ЭМ на все станции организатора и все станции КЕГЭ во всех аудиториях.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загрузки ключа доступа к ЭМ член ГЭК выполняет его активацию: подключает к станции организатора или станции КЕГЭ токен члена ГЭК и вводит пароль доступа к нему. После сообщения о завершении работы с токеном члена ГЭК извлекает из компьютера токен члена ГЭК и направляется совместно с техническим специалистом ППЭ к следующему компьютеру (ноутбуку) или в следующую аудиторию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Технический специалист и член ГЭК могут перемещаться по аудиториям раздельно: сначала технический специалист загружает ключ доступа к ЭМ, после чего член ГЭК самостоятельно, без участия технического специалиста ППЭ, выполняет процедуру активации ключа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Кнопку «Прочитать КИМ» на станции КЕГЭ нажимать </w:t>
      </w:r>
      <w:r>
        <w:rPr>
          <w:rFonts w:ascii="Times New Roman" w:hAnsi="Times New Roman"/>
          <w:b/>
        </w:rPr>
        <w:t>не</w:t>
      </w:r>
      <w:r>
        <w:rPr>
          <w:rFonts w:ascii="Times New Roman" w:hAnsi="Times New Roman"/>
        </w:rPr>
        <w:t xml:space="preserve"> нужно – это действие приравнивается к вскрытию ЭМ, что запрещено до 10:00.</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отсутствии доступа к личному кабинету ППЭ по основному и резервному каналам в 09:35 по местному времени технический специалист информирует члена ГЭК о наличии нештатной ситуации, член ГЭК обращается на горячую линию сопровождения ППЭ для оформления заявки на получение пароля доступа к ЭМ. Технический специалист должен продолжить работы по восстановлению доступа в сеть «Интернет». Пароли доступа к ЭМ (не менее двух паролей на каждый предмет) выдаются не ранее 09:45 по местному времени, если доступ в сеть «Интернет» восстановить не удалось.</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информации от руководителя ППЭ о завершении печати ЭМ и успешном начале экзамена на всех станциях КЕГЭ во всех аудиториях ППЭ (все участники ввели код активации экзамена и перешли к выполнению ЭР) технический специалист по указанию руководителя ППЭ в личном кабинете ППЭ передает при участии члена ГЭК с использованием токена члена ГЭК статус «Экзамены успешно начались» в систему мониторинга готовности ППЭ в личном кабинете ППЭ. Статус «Экзамены успешно начались» ставиться не ранее 10:05.</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в ППЭ до 10:30 не явился ни один из распределённых участников экзаменов, технический специалист по указанию руководителя ППЭ в личном кабинете ППЭ при участии члена ГЭК с использованием токена члена ГЭК передаёт статус «Ожидание участника». В случае если после передачи данного статуса в ППЭ является хотя бы один участник и приступает к выполнению экзаменационной работы, статус «Ожидание участников» отменяется и передаётся статус «Экзамены успешно начались» – оба действия выполняются по указанию руководителя ППЭ в личном кабинете ППЭ при участии члена ГЭК с использованием токена члена ГЭК. В случае если никто из распределённых участников не явился в ППЭ, и членом ГЭК принято решение о завершении экзамена в ППЭ, статус «Ожидание участников» отменяется и передаётся статус «Экзамен не состоялся» – оба действия выполняются по указанию руководителя ППЭ в личном кабинете ППЭ при участии члена ГЭК с использованием токена члена ГЭК (в случае если в ППЭ есть аудитории, в которые не явился ни один участник, но при этом есть хотя бы одна аудитория, где экзамен начался, статус «Ожидание участников» не передаётся; после начала экзамена во всех аудиториях, в которые явились участники экзамена, ППЭ передаёт статус «Экзамены успешно начались».)</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Статус «Ожидание участников» – временный, он обязательно должен быть отменён до окончания экзамена. Вместо него должен быть установлен статус «Экзамены успешно начались» либо статус «Экзамен не состоялся».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в течение двух часов от начала экзамена</w:t>
      </w:r>
      <w:r>
        <w:rPr>
          <w:rStyle w:val="FootnoteReference"/>
          <w:rFonts w:ascii="Times New Roman" w:hAnsi="Times New Roman"/>
        </w:rPr>
        <w:footnoteReference w:id="4"/>
      </w:r>
      <w:r>
        <w:rPr>
          <w:rFonts w:ascii="Times New Roman" w:hAnsi="Times New Roman"/>
        </w:rPr>
        <w:t xml:space="preserve"> ни один из участников КЕГЭ, распределенных в ППЭ, не явился в ППЭ, член ГЭК по согласованию с председателем ГЭК принимает решение об остановке экзамена в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На станциях организатора печатает протоколы использования станции организатора в аудитории ППЭ (форма ППЭ-23-1) и сохраняет электронный журнал работы станции организатора на флеш-накопитель для переноса данных между станциями ППЭ, на станциях КЕГЭ сохраняет электронный журнал работы станции КЕГЭ. Протоколы использования станций организатора в аудитории ППЭ (форма ППЭ-23-01)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станций КЕГЭ передаются в систему мониторинга готовности ППЭ в личном кабинете ППЭ при участии члена ГЭК с использованием токена члена ГЭК. В случае отсутствия участников экзамена во всех аудиториях ППЭ технический специалист по указанию руководителя ППЭ в личном кабинете ППЭ при участии члена ГЭК с использованием токена члена ГЭК отменяет статус «Ожидание участника» и передает статус «Экзамен не состоялся»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неявки всех распределенных в отдельные аудитории ППЭ участников экзаменов в течение двух часов от начала экзамена и принятия членом ГЭК по согласованию с председателем ГЭК решения об остановке экзамена в этих аудиториях ППЭ, технический специалист завершает экзамены на станциях организатора, станциях КЕГЭ в этих аудиториях ППЭ, печатает протоколы использования станции организатора в аудитории ППЭ (форма ППЭ-23-01) и сохраняет электронный журнал работы станции организатора на флеш-накопитель для переноса данных между станциями ППЭ, на станциях КЕГЭ сохраняет электронный журнал работы станции КЕГЭ. Протоколы использования станции организатора в аудитории ППЭ (форма ППЭ-23-01)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станций КЕГЭ передаются в систему мониторинга готовности ППЭ в личном кабинете ППЭ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Действия в случае нештатной ситуации: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 xml:space="preserve">В случае недостатка доступных для печати </w:t>
      </w:r>
      <w:r>
        <w:rPr>
          <w:rFonts w:ascii="Times New Roman" w:hAnsi="Times New Roman"/>
        </w:rPr>
        <w:t>бланков регистрации организатор в аудитории информирует руководителя ППЭ и члена ГЭК (через организатора вне аудитории) о необходимости использования резервных бланков регистрации, включенных в состав интернет-пакета, загруженного для проведения экзамена. В этом случае необходимо: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запросить в Штабе ППЭ в личный кабинет ППЭ при участии члена ГЭК с использованием токена члена ГЭК, резервный ключ доступа к ЭМ для резервных ЭМ, в запросе указывается учебный предмет, номер аудитории, уникальный номер компьютера (ноутбука), присвоенный задействованной станции организатора, установленной в этой аудитории, количество ИК, которое нужно напечатать;</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записать новый ключ доступа к ЭМ на флеш-накопитель для переноса данных между станциями ППЭ. Новый ключ доступа к ЭМ включает в себя сведения обо всех основных станциях организатора и станциях КЕГЭ, а также обо всех ранее выданных резервных ключах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загрузить новый ключ доступа к ЭМ на используемую в аудитории станцию организатора и активировать его токеном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необходимости, повторно получить ранее запрошенный ключ доступа на резервные ЭМ возможно путем скачивания основного ключа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 xml:space="preserve">В случае сбоя в работе станции КЕГЭ </w:t>
      </w:r>
      <w:r>
        <w:rPr>
          <w:rFonts w:ascii="Times New Roman" w:hAnsi="Times New Roman"/>
        </w:rPr>
        <w:t>и при желании участника экзамена продолжить выполнение экзаменационной работы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ПО «Станция КЕГЭ» и (или) стандартного ПО, предоставляемого участнику для выполнения</w:t>
      </w:r>
      <w:r>
        <w:rPr>
          <w:rFonts w:ascii="Times New Roman" w:hAnsi="Times New Roman"/>
          <w:spacing w:val="-11"/>
        </w:rPr>
        <w:t xml:space="preserve"> </w:t>
      </w:r>
      <w:r>
        <w:rPr>
          <w:rFonts w:ascii="Times New Roman" w:hAnsi="Times New Roman"/>
        </w:rPr>
        <w:t xml:space="preserve">заданий.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восстановления работоспособности станции КЕГЭ для продолжения экзамена необходимо присутствие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с использованием своего токена активирует ранее загруженный ключ доступа к ЭМ и запускает расшифровку КИМ командой «Прочитать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странице активации экзамена член ГЭК и организатор проверяют, что номер бланка регистрации, отображаемый на экране компьютера (ноутбука), соответствует номеру в бумажном бланке регистрации, и предлагают участнику ввести код активации и нажать кнопку «Продолжить экзамен».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Время выполнения ЭР для участника КЕГЭ не увеличивается, т.к. участник продолжает работу с тем же КИМ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необходимости станция КЕГЭ заменяется на резервную, в этом случае следует: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получить у руководителя ППЭ приложение к паспорту станции КЕГЭ для резервной ПО «Станция КЕГЭ», устанавливаемой в эту аудиторию;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запросить в Штабе ППЭ в личном кабинете ППЭ при участии члена ГЭК с использованием токена члена ГЭК резервный ключ доступа к ЭМ для резервной станции КЕГЭ, в запросе указывается номер аудитории, уникальный номер компьютера (ноутбука), присвоенный резервной станции КЕГЭ, устанавливаемой в эту аудиторию;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записать новый ключ доступа к ЭМ на флеш-накопитель для переноса данных между станциями ППЭ. Новый ключ доступа к ЭМ включает в себя сведения обо всех основных станциях организатора и станциях КЕГЭ, а также обо всех ранее выданных резервных ключах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загрузить новый ключ доступа к ЭМ на резервную станцию КЕГЭ, при этом автоматически заполнится номер аудитории, указанный при запросе в личном кабинете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предложить члену ГЭК активировать ключ доступа к ЭМ на резервной станции КЕГЭ с использованием токена члена ГЭК и запустить расшифровку КИМ командой «Прочитать КИМ».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 странице активации экзамена член ГЭК и организатор проверяют, что номер бланка регистрации, отображаемый на экране компьютера (ноутбука), соответствует номеру в бумажном бланке регистрации (тот же номер), и предлагают участнику ввести код активации и нажать кнопку «Начать экзамен».</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случае необходимости, повторно получить ранее запрошенный ключ доступа к ЭМ на резервную станцию КЕГЭ возможно путем повторного скачивания основного ключа доступа к ЭМ.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Вышедшую из строя станцию КЕГЭ необходимо оставить в данной аудитории в зоне видимости камер видеонаблюдения до окончания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 случае невозможности самостоятельного разрешения возникшей нештатной ситуации на станции организатора или станции КЕГЭ</w:t>
      </w:r>
      <w:r>
        <w:rPr>
          <w:rFonts w:ascii="Times New Roman" w:hAnsi="Times New Roman"/>
        </w:rPr>
        <w:t>, в том числе путем замены оборудования из числа резервного, технический специалист записывает информационное сообщение, код ошибки (если есть), название экрана и описание последнего действия, выполненного на станции организатора или станции КЕГЭ, и обращается по телефону горячей линии сопровождения ППЭ. При обращении необходимо сообщить: код и наименование субъекта Российской Федерации, код ППЭ, контактный телефон и адрес электронной почты, перечисленную выше информацию о возникшей нештатной ситуации.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 случае если во время экзамена произошел технический сбой, участнику экзамена по его выбору предоставляется право сдать экзамен в тот же день или в резервные сроки (в резервные сроки участнику будет предоставлен новый КИМ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После завершения выполнения ЭР </w:t>
      </w:r>
      <w:r>
        <w:rPr>
          <w:rFonts w:ascii="Times New Roman" w:hAnsi="Times New Roman"/>
        </w:rPr>
        <w:t>участниками экзамена во всех аудиториях ППЭ (все участники экзамена покинули аудитории) технический специалист по указанию руководителя ППЭ в личном кабинете ППЭ передает при участии члена ГЭК с использованием токена члена ГЭК статус «Экзамены завершены» в систему мониторинга готовности ППЭ в личном кабинете ППЭ и ожидает завершения процедуры сканирования ЭМ в аудиториях.</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Данные, содержащие ответы участников экзамена, переносятся на флеш-накопители для сохранения ответов участников КЕГЭ для формирования пакетов и передачи их в РЦОИ для дальнейшей обработки. Количество флеш-накопителей определяется в соответствии с количеством технических специалистов, выполняющих сбор ответов участников, и размером флеш-накопителей, при этом необходимо учитывать, что ответы из одной аудитории не должны быть сохранены на разных</w:t>
      </w:r>
      <w:r>
        <w:rPr>
          <w:rFonts w:ascii="Times New Roman" w:hAnsi="Times New Roman"/>
          <w:spacing w:val="-9"/>
        </w:rPr>
        <w:t xml:space="preserve"> </w:t>
      </w:r>
      <w:r>
        <w:rPr>
          <w:rFonts w:ascii="Times New Roman" w:hAnsi="Times New Roman"/>
        </w:rPr>
        <w:t>флеш-накопителях.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каждой аудитории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завершает экзамен на замененных станциях КЕГЭ (при наличии), сохраняет электронный журнал работы станции КЕГЭ для передачи в систему мониторинга готовности ППЭ (при возможности), </w:t>
      </w:r>
      <w:r>
        <w:rPr>
          <w:rFonts w:ascii="Times New Roman" w:hAnsi="Times New Roman"/>
          <w:b/>
        </w:rPr>
        <w:t>сохранение ответов участника экзамена с замененной станции КЕГЭ не выполняется</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завершает экзамен на остальных станциях КЕГЭ, выполняет сохранение ответов участников экзамена на каждой станции КЕГЭ, включая резервные станции, задействованные при проведении экзамена, на флеш-накопитель для сохранения ответов участников КЕГЭ, одновременно на флеш-накопитель сохраняется электронный журнал работы станции КЕГЭ для последующей передачи в систему мониторинга готовности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для сохранения ответов со станций КЕГЭ, на которых работали удалённые из ППЭ или не завершившие экзамен по объективным причинам участники КЕГЭ (а также участники, отказавшиеся подтвердить ознакомление с протоколом ответов участника КЕГЭ), в присутствии члена ГЭК нажать на ссылку «Участник не завершил или был удалён» для перехода на страницу «Экзамен закончен» (в протоколе ответов участника экзамена дата ознакомления будет отсутствовать);</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 окончании сохранения всех ответов участников КЕГЭ на флеш-накопитель для сохранения ответов участников КЕГЭ приглашает члена ГЭК с токеном для формирования (экспорта) пакета с ответами участников КЕГЭ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присутствии члена ГЭК подключает к станции КЕГЭ флеш-накопитель с сохраненными ответами участников КЕГЭ и выполняет проверку сохраненных ответов;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Для выполнения действия необходимо выбрать станцию КЕГЭ, имеющую два свободных USB-порта. В случае использования USB-концентратора рекомендуется токен подключать непосредственно в USB-порт компьютера (ноутбука), а флеш-накопитель через USB –концентратор;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отсутствия нештатных ситуаций в результате выполненной проверки предлагает члену ГЭК подключить к станции КЕГЭ токен и ввести пароль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запускает по указанию члена ГЭК формирование (экспорт)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Нельзя отключать токен члена ГЭК до окончания формирования (экспорта)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 формируется на основе всех сохраненных на флеш-накопитель ответов участников КЕГЭ. Одновременно выполняется формирование и сохранение сопроводительного бланка к флеш-накопителю, включающего сведения о содержании сформированного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Распечатывает и подписывает сопроводительный бланк к флеш-накопителю для сохранения ответов участников КЕГЭ. Указанный сопроводительный бланк может быть распечатан на любом компьютере (ноутбуке) с подключенным принтером.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Каждый пакет хранится и передается на том флеш-накопителе, на котором он был создан. Недопустимо копировать или перемещать пакеты с ответами участников экзамена с одного флеш-накопителя на другой (копировать несколько пакетов на один флеш-накопитель). В случае наличия на флеш-накопителе ранее сформированного пакета и/или сопроводительного бланка они будут удалены.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наличия в результате выполненной проверки сообщений о поврежденных файлах ответов участников КЕГЭ принять меры для повторного сохранения ответов участников КЕГЭ с соответствующих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информации от организаторов в аудитории о завершении сканирования бланков регистрации участников и форм ППЭ, сканируемых в аудитории, технический специалист совместно с членом ГЭК проходит по аудиториям для формирования пакета с электронными образами бланков регистрации и форм ППЭ и завершения экзамена на станциях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и организаторами проверяет, что экспортируемые данные не содержат особых ситуаций и сверяет данные о количестве отсканированных бланков регистрации, указанном на станции организатора, с количеством бланков регистрации, указанном в форме ППЭ-11;</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если все данные по аудитории корректны, предлагает члену ГЭК подключить к станции организатора токен члена ГЭК и выполняет экспорт электронных образов бланков регистрации и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сохраняет пакет с электронными образами бланков регистрации и форм ППЭ на флеш-накопитель для переноса данных между станциями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организаторами в аудитории печатает и подписывает протокол печати ЭМ в аудитории (форма ППЭ-23), и протокол проведения процедуры сканирования бланков в аудитории ППЭ (форма ППЭ-15), сохраняет на флеш-накопитель для переноса данных между станциями ППЭ электронный журнал работы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Печать протоколов и сохранение электронного журнала работы станции организатора выполняется также на станциях организатора, замененных в ходе экзамена на резервные, и на резервных станциях организатора, не использованных на экзамене.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сохранения на флеш-накопитель для переноса данных между станциями ППЭ пакетов с электронными образами бланков участников и формами ППЭ со всех станций организатора и завершения экзамена на всех станциях организатора, включая резервные, электронных журналов работы со всех станций организатора во всех аудиториях, включая замененные и резервные станции (электронные журналы станций КЕГЭ были сохранены ранее при сохранении ответов участников экзамена), технический специалист прибывает в Штаб ППЭ, в котором должен: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передать флеш-накопитель (флеш-накопители для каждой аудитории) с ответами участников КЕГЭ и напечатанный сопроводительный бланк (бланки)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завершения сверки руководителем ППЭ и членом ГЭК данных сопроводительного бланка (бланков) к флеш-накопителю с ответами участников КЕГЭ с ведомостями сдачи экзамена в аудиториях получить флеш-накопитель (флеш-накопители для каждой аудитории)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при по согласованию с руководителем ППЭ при участии члена ГЭК с использованием токена члена ГЭК загрузить пакет (пакеты последовательно для каждого флеш-накопителя) с ответами участников КЕГЭ (могут быть переданы вместе с пакетом (пакетами) c электронными образами бланков и форм ППЭ после завершения процедуры сканирования);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передать при участии члена ГЭК с токеном члена ГЭК электронные журналы всех основных и резервных станций организатора и станций КЕГЭ в систему мониторинга готовности ППЭ (передачу журналов станций КЕГЭ следует выполнять только после подтверждения получения пакетов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В случае необходимости повторной передачи ответов участников из ППЭ в РЦОИ для отдельной станции (станций) необходимо выполнить выгрузку ответов участников КЕГЭ с соответствующей станции (станций) на </w:t>
      </w:r>
      <w:r>
        <w:rPr>
          <w:rFonts w:ascii="Times New Roman" w:hAnsi="Times New Roman"/>
          <w:b/>
        </w:rPr>
        <w:t xml:space="preserve">тот же </w:t>
      </w:r>
      <w:r>
        <w:rPr>
          <w:rFonts w:ascii="Times New Roman" w:hAnsi="Times New Roman"/>
        </w:rPr>
        <w:t xml:space="preserve">флеш-накопитель с последующим формированием пакета (пакетов) для передачи в РЦОИ. В этом случае в состав пакета (пакетов) попадут все сохраненные ответы, включая </w:t>
      </w:r>
      <w:r>
        <w:rPr>
          <w:rFonts w:ascii="Times New Roman" w:hAnsi="Times New Roman"/>
          <w:b/>
        </w:rPr>
        <w:t xml:space="preserve">обновленные ответы </w:t>
      </w:r>
      <w:r>
        <w:rPr>
          <w:rFonts w:ascii="Times New Roman" w:hAnsi="Times New Roman"/>
        </w:rPr>
        <w:t xml:space="preserve">запрошенных станций и </w:t>
      </w:r>
      <w:r>
        <w:rPr>
          <w:rFonts w:ascii="Times New Roman" w:hAnsi="Times New Roman"/>
          <w:b/>
        </w:rPr>
        <w:t xml:space="preserve">ранее переданные </w:t>
      </w:r>
      <w:r>
        <w:rPr>
          <w:rFonts w:ascii="Times New Roman" w:hAnsi="Times New Roman"/>
        </w:rPr>
        <w:t>ответы остальных станций, новый пакет заменит ранее переданный.</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Обеспечение сканирования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начала сканирования на станции Штаба ППЭ технический специалист должен загрузить ключ доступа к ЭМ, содержащий сведения о распределении участников по аудиториям, ключ доступа к ЭМ должен быть активирован токеном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Активация станции Штаба ППЭ должна быть выполнена непосредственно перед началом процесса сканирования ЭМ, поступающих из аудиторий в Штаб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Загрузка журналов работы станции организатора на станцию Штаба ППЭ в случае сканирования форм ППЭ не выполняется.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заполнения всех форм ППЭ технический специалист получает от руководителя ППЭ для сканирования следующие формы ППЭ: ППЭ-07, ППЭ-13-03-К, ППЭ-18-МАШ (при наличии), ППЭ-19, ППЭ-21 с приложениями (при наличии), ППЭ-22, а также сопроводительный(ые) бланк(и) к флеш-накопителю (флеш-накопителям из каждой аудитории)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Также передаются для сканирования материалы апелляций о нарушении Порядка (формы ППЭ-02 и ППЭ-03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сканируются в Штабе ППЭ следующие формы ППЭ, отсканированные в аудиториях ППЭ: ППЭ-05-02-К, ППЭ-12-02 (при наличии), ППЭ-12-04-МАШ.</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Технический специалист выполняет калибровку станции Штаба ППЭ на эталонном калибровочном листе (при необходимости), а затем сканирует полученные формы ППЭ и после сканирования возвращает их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по приглашению технического специалиста ППЭ проверяет, что экспортируемые данные не содержат особых ситуаций.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несет ответственность за качество сканирования и соответствие передаваемых данных информации о рассадке.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Если все данные корректны, член ГЭК подключает к станции Штаба ППЭ токен члена ГЭК и вводит пароль доступа к нему, после чего технический специалист выполняет экспорт электронных образов форм ППЭ: пакет с электронными образами форм ППЭ зашифровывается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Технический специалист сохраняет на флеш-накопитель для переноса данных между станциями ППЭ пакет с электронными образами форм ППЭ, и при участии руководителя ППЭ выполняет передачу на сервер РЦОИ с помощью личного кабинета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участии члена ГЭК с использованием токена члена ГЭК загружает пакет (пакеты) с электронными образами бланков регистрации и форм ППЭ, сформированных на всех станциях организатора и станции Штаба ППЭ пакета (пакетов) с ответами участников КЕГЭ (если не были переданы ранее, пакет (пакеты) с ответами участников КЕГЭ может быть передан после завершения сверки 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участии члена ГЭК и руководителя ППЭ проверяет соответствие загруженных пакетов информации о рассадке;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передает успешно загруженные пакеты в РЦОИ (статус пакетов принимает значение «Направлен в РЦОИ»). В случае возникновения нештатной ситуации, связанной с рассадкой, необходимо по телефону получить от РЦОИ код, который позволит выполнить передачу 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руководитель ППЭ и технический специалист ожидают в Штабе ППЭ подтверждения от РЦОИ факта успешного получения и расшифровки переданных пакетов с электронными образами бланков регистрации и форм ППЭ, и пакета (пакетов) с ответами участников КЕГЭ (статус пакетов принимает значение «подтвержден»).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по запросу РЦОИ необходимо использовать новый пакет с сертификатами специалистов РЦОИ для экспорта бланков регистрации и (или) форм ППЭ и (или) ответов участников КЕГЭ, технический специалист загружает на личного кабинета ППЭ новый пакет с сертификатами специалистов РЦОИ и выполняет следующие действия</w:t>
      </w:r>
      <w:r>
        <w:rPr>
          <w:rFonts w:ascii="Times New Roman" w:hAnsi="Times New Roman"/>
          <w:spacing w:val="-5"/>
        </w:rPr>
        <w:t xml:space="preserve"> </w:t>
      </w:r>
      <w:r>
        <w:rPr>
          <w:rFonts w:ascii="Times New Roman" w:hAnsi="Times New Roman"/>
        </w:rPr>
        <w:t>соответственно.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повторного экспорта пакета с электронными образами бланков регистрации и форм ППЭ, сформированного на станции организатора,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проходит в соответствующую аудиторию ППЭ и возвращает станцию организатора на этап экспорта пакета с электронными образами бланков и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актуальный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выполняет повторный экспорт пакета с электронными образами бланков регистрации и форм ППЭ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повторного экспорта пакета с электронными образами форм ППЭ, сформированного на станции Штаба ППЭ,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актуальный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выполняет повторный экспорт пакета с электронными образами форм ППЭ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повторного экспорта пакета с ответами участников КЕГЭ, сформированного на основе данных флеш-накопителя на станции КЕГЭ, технический 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проходит в аудиторию ППЭ и возвращает станцию КЕГЭ на этап экспорта пакета с ответами участников КЕГЭ (для формирования (экспорта) пакета может быть задействована любая станция КЕГЭ, на которой было выполнено сохранение ответов участника, повторное сохранение ответов участника на этой станции без запроса из РЦОИ не требуется);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загружает актуальный пакет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подключает флеш-накопитель с сохраненными ответами участников КЕГЭ к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выполняет повторную проверку флеш-накопителя с ответами участников КЕГЭ и повторный экспорт пакета с ответами участников КЕГЭ для передачи в РЦОИ, ранее сформированный пакет и сопроводительный бланк к флеш-накопителю при этом удаляются.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от РЦОИ подтверждения по всем переданным пакетам технический</w:t>
      </w:r>
      <w:r>
        <w:rPr>
          <w:rFonts w:ascii="Times New Roman" w:hAnsi="Times New Roman"/>
          <w:spacing w:val="-3"/>
        </w:rPr>
        <w:t xml:space="preserve"> </w:t>
      </w:r>
      <w:r>
        <w:rPr>
          <w:rFonts w:ascii="Times New Roman" w:hAnsi="Times New Roman"/>
        </w:rPr>
        <w:t>специалист: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основной станции Штаба ППЭ сохраняет протокол проведения процедуры сканирования бланков в ППЭ (форма ППЭ-15) и электронный журнал работы станции Штаба ППЭ, протокол проведения процедуры сканирования распечатывается и подписывается техническим специалистом ППЭ, руководителем ППЭ и членом ГЭК и остается на хранение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резервной не задействованной для сканирования станции Штаба ППЭ технический специалист завершает экзамен и сохраняет протокол использования станции Штаба ППЭ (форма ППЭ-15-01) и электронный журнал работы станции Штаба ППЭ, протокол использования станции Штаба ППЭ распечатывается и подписывается техническим специалистом ППЭ, руководителем ППЭ и членом ГЭК и остается на хранение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личном кабинете ППЭ при участии члена ГЭК с использованием токена члена ГЭК выполняет передачу электронных журналов работы основной и резервной станций Штаба ППЭ и статуса «Материалы переданы в РЦОИ» в систему мониторинга готовности ППЭ. Статус «Материалы переданы в РЦОИ» может быть передан, если в РЦОИ было передано подтверждение о завершении передачи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2"/>
        <w:numPr>
          <w:ilvl w:val="1"/>
          <w:numId w:val="6"/>
        </w:numPr>
        <w:tabs>
          <w:tab w:val="clear" w:pos="1281"/>
          <w:tab w:val="left" w:pos="392" w:leader="none"/>
        </w:tabs>
        <w:spacing w:lineRule="auto" w:line="240" w:before="0" w:after="0"/>
        <w:contextualSpacing/>
        <w:jc w:val="center"/>
        <w:rPr>
          <w:rFonts w:ascii="Times New Roman" w:hAnsi="Times New Roman"/>
        </w:rPr>
      </w:pPr>
      <w:bookmarkStart w:id="18" w:name="__RefHeading___5"/>
      <w:bookmarkStart w:id="19" w:name="bookmark16"/>
      <w:bookmarkStart w:id="20" w:name="bookmark15"/>
      <w:bookmarkEnd w:id="18"/>
      <w:r>
        <w:rPr>
          <w:rFonts w:ascii="Times New Roman" w:hAnsi="Times New Roman"/>
        </w:rPr>
        <w:t>Инструкция для члена ГЭК</w:t>
      </w:r>
      <w:bookmarkEnd w:id="19"/>
      <w:bookmarkEnd w:id="20"/>
      <w:r>
        <w:rPr>
          <w:rStyle w:val="FootnoteReference"/>
          <w:rFonts w:ascii="Times New Roman" w:hAnsi="Times New Roman"/>
        </w:rPr>
        <w:footnoteReference w:id="5"/>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На подготовительном этапе проведения КЕГЭ член ГЭК: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проводит проверку готовности ППЭ не позднее чем за две недели до начала экзаменов (по решению председателя ГЭК), в том числе проверяет работоспособность криптосредств в личном кабинете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ранее чем за 2 рабочих дня, но не позднее 16:00 </w:t>
      </w:r>
      <w:r>
        <w:rPr>
          <w:rFonts w:ascii="Times New Roman" w:hAnsi="Times New Roman"/>
        </w:rPr>
        <w:t>по местному времени календарного дня, предшествующего дню экзамена</w:t>
      </w:r>
      <w:r>
        <w:rPr>
          <w:rFonts w:ascii="Times New Roman" w:hAnsi="Times New Roman"/>
          <w:b/>
        </w:rPr>
        <w:t xml:space="preserve">, </w:t>
      </w:r>
      <w:r>
        <w:rPr>
          <w:rFonts w:ascii="Times New Roman" w:hAnsi="Times New Roman"/>
        </w:rPr>
        <w:t>совместно с руководителем ППЭ и техническим специалистом ППЭ проводит контроль технической готовности ППЭ, в том числе: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контролирует тиражирование и передачу руководителю ППЭ инструкции по использованию ПО для сдачи КЕГЭ и черновика КЕГЭ по одному комплекту на каждого участника;</w:t>
      </w:r>
    </w:p>
    <w:p>
      <w:pPr>
        <w:pStyle w:val="111"/>
        <w:spacing w:lineRule="auto" w:line="240" w:before="0" w:after="0"/>
        <w:ind w:firstLine="720" w:left="0" w:right="0"/>
        <w:contextualSpacing/>
        <w:jc w:val="both"/>
        <w:rPr>
          <w:rFonts w:ascii="Times New Roman" w:hAnsi="Times New Roman"/>
        </w:rPr>
      </w:pPr>
      <w:r>
        <w:rPr>
          <w:rFonts w:ascii="Times New Roman" w:hAnsi="Times New Roman"/>
          <w:u w:val="single"/>
        </w:rPr>
        <w:t>на компьютере (ноутбуке), предназначенном для работы в личном кабинете ППЭ</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 наличие соединения с личным кабинетом ППЭ по основному и резервному каналам доступа в сеть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u w:val="single"/>
        </w:rPr>
        <w:t>в личном кабинете ППЭ</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проверяет тип основного и резервного каналов доступа в сеть «Интернет» (либо отсутствие резервного канала доступа в сеть «Интернет»);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выполняет авторизацию на специализированном федеральном портале с помощью токена члена ГЭК: член ГЭК подключает токен к компьютеру (ноутбуку) и вводит пароль доступа к нему;</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 результатам авторизации убеждается в наличии назначения на выбранную дату экзамена в указанный в настройках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 xml:space="preserve">Все члены ГЭК, назначенные на экзамен, должны пройти авторизацию в ППЭ, в который они назначены, </w:t>
      </w:r>
      <w:r>
        <w:rPr>
          <w:rFonts w:ascii="Times New Roman" w:hAnsi="Times New Roman"/>
          <w:b/>
        </w:rPr>
        <w:t xml:space="preserve">не ранее 2 рабочих дней до дня проведения экзамена и не позднее 16:00 </w:t>
      </w:r>
      <w:r>
        <w:rPr>
          <w:rFonts w:ascii="Times New Roman" w:hAnsi="Times New Roman"/>
        </w:rPr>
        <w:t>по местному времени календарного дня, предшествующего дню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контролирует скачивание пакета с сертификатами специалистов РЦОИ для загрузки на все станции КЕГЭ, станции организатора и станции Штаба ППЭ, включая резервные;</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каждой станции организатора</w:t>
      </w:r>
      <w:r>
        <w:rPr>
          <w:rFonts w:ascii="Times New Roman" w:hAnsi="Times New Roman"/>
        </w:rPr>
        <w:t xml:space="preserve"> в каждой аудитории, назначенной на экзамен, и резервных станциях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станции: код региона, код ППЭ (впечатываются в бланки регистрации участников экзамена), номер компьютера (ноутбука)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загруженного интернет-пакета;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качество печати калибровочного листа (тестовой печати границ), выполненной в его присутствии, и напечатанного во время технической подготовки тестового бланка регистрации: все напечатанные границы видны, на тестовых бланках регистрации и калибровочном листе отсутствуют белые и темные полосы; черные квадраты (реперы), штрихкоды и QR-код, текст хорошо читаемы и четко пропечатаны. По усмотрению члена ГЭК тестовый бланк регистрации может быть напечатан в его присутствии;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выполнение калибровки сканера с использованием напечатанного калибровочного листа (тестовой страницы границ печати) и его передачу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загрузку пакета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подключает к станции организатора токен члена ГЭК и вводит пароль доступа к нему. Каждый член ГЭК должен убедиться в работоспособности своего токена хотя бы на одной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что в аудитории ППЭ подготовлено достаточное количество бумаги для печати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контролирует печать протокола технической готовности аудитории для печати (форма ППЭ-01-01);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сохранение на флеш-накопитель для переноса данных между станциями ППЭ электронного акта технической готовности для последующей передачи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Не рекомендуется перемещать станцию организатора с подключенным принтером и сканером или отключать принтер и сканер от компьютера (ноутбука) после завершения контроля технической готовности;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каждой станции КЕГЭ</w:t>
      </w:r>
      <w:r>
        <w:rPr>
          <w:rFonts w:ascii="Times New Roman" w:hAnsi="Times New Roman"/>
        </w:rPr>
        <w:t xml:space="preserve"> в каждой аудитории, назначенной на экзамен, и резервных станциях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станции: код региона, код ППЭ, номер компьютера (ноутбука) - уникальный для ППЭ номер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номер аудитории (для резервных станций номер аудитории не указывается), признак резервной станции для резервной станции,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загруженного интернет-пакета;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заданного пути к корневой папке для создания рабочей папки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рабочей папки экзамена по указанному адресу;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корректность функционирования ПО «Станция КЕГЭ» в части работы с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текст типовых экзаменационных заданий КЕГЭ четкий и хорошо читаемый, элементы управления (кнопки, таблица для ввода ответа) не мешают отображению текста типовых экзаменационных заданий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ввода и сохранения ответа на стандартное задание и на задание с ответом в табличном виде;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доступна возможность сохранения прилагаемых файлов к заданиям, сохраненные файлы содержатся в рабочей папке;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кнопки вызова инструкции в ПО и сворачивания станции работоспособны;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наличие стандартного ПО, предоставляемого участнику экзамена во время экзамена (текстовые редакторы, редакторы электронных таблиц, среды программирования на языках: C++, Pascal, Java, Python) в соответствии с перечнем, полученным из РЦОИ, и его работоспособность одновременно с ПО «Станция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что на ПО «Станция КЕГЭ» зарегистрировано установленное на компьютере (ноутбуке) стандартное ПО, и что список зарегистрированных на ПО «Станция КЕГЭ» программ в точности совпадает с тем ПО, которое установлено на проверяемом компьютере (ноутбуке);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загрузку пакета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член ГЭК подключает к станции КЕГЭ токен члена ГЭК и вводит пароль доступа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сохранение кода активации экзамена и его передачу руководителю ППЭ (код активации экзамена одинаковый для всех станций КЕГЭ в одной аудитории)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сохранение на флеш-накопитель для переноса данных между станциями ППЭ паспорта станции КЕГЭ, а также электронного акта технической готовности для передачи в систему мониторинга готовности ППЭ. Сведения об установленном стандартном ПО, зарегистрированном в ПО «Станция КЕГЭ», сохраняются в электронном акте технической готовности ПО «Станция КЕГЭ», а также включаются в приложение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контролирует, что в рабочей папке экзамена, а также в Корзине удалены все файлы, сохраненные и (или) созданные в ходе технической подготовки или во время предыдущих экзаменов.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на основной и резервной станциях Штаба ППЭ, установленных в Штабе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станции: код региона, код ППЭ, номер компьютера (ноутбука) - уникальный для ППЭ номер компьютера (ноутбука), признак резервной станции для резервной станции;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экзамена: период проведения экзаменов, учебный предмет и дату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настройки системного времени;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выполнение тестового сканирования не менее одного из предоставленных тестовых бланков регистрации повторно, а также (при наличии) напечатанных по решению члена ГЭК тестовых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оценивает качество сканирования бланков регистрации: все бланки регистрации успешно распознаны и не отмечены как некачественные; черные квадраты (реперы), штрихкоды и QR-код, текст хорошо читаемы, знакоместа на бланках не слишком яркие;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загрузку пакета с сертификатами специалистов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работоспособность средств криптозащиты с использованием токена члена ГЭК: подключает к станции Штаба ППЭ токен члена ГЭК и вводит пароль доступа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сохранение на флеш-накопитель протокола технической готовности Штаба ППЭ для сканирования бланков в ППЭ (форма ППЭ-01-02) и электронного акта технической готовности для последующей передачи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Проверяет наличие дополнительного (резервного) оборудования, необходимого для проведения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принтер, который будет использоваться для печати сопроводительной документации к флеш-накопителям с ответами участников КЕГЭ (может быть использован принтер, подключённый к станции Штаба ППЭ либо принтер, подключённый к любой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основной и резервный флеш-накопители для переноса данных между станциями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основные и резервные флеш-накопители для сохранения ответов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USB-модем для обеспечения резервного канала доступа в сеть «Интернет». USB - модем используется в случае возникновения проблем с доступом в сеть «Интернет» по основному стационарному каналу связи;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картриджи для принтеров;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лазерные принтеры и сканеры, дополнительно к настроенным резервным станциям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резервные кабели для подключения принтеров и сканеров к компьютерам (ноутбукам).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 окончании контроля технической готовности аудиторий и Штаба ППЭ к экзамену член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подписывает паспорта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передачу приложений к паспорту станции КЕГЭ руководителю ППЭ для дальнейшей выдачи организаторам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подписывает протокол (протоколы) технической готовности аудиторий, напечатанный тестовый бланк регистрации является приложением к соответствующему протоколу (форма ППЭ-01-01);</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подписывает протокол (протоколы) технической готовности Штаба ППЭ (форма ППЭ- 01-02), подписанные паспорта и протоколы остаются на хранение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заполняет и подписывает форму ППЭ-01-01-К;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подтверждает токеном члена ГЭК передачу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сформированных электронных актов технической готовности со всех основных и резервных станций КЕГЭ, станций организатора, станций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статуса «Контроль технической готовности завершён».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После завершения контроля технической готовности все станции необходимо </w:t>
      </w:r>
      <w:r>
        <w:rPr>
          <w:rFonts w:ascii="Times New Roman" w:hAnsi="Times New Roman"/>
          <w:b/>
        </w:rPr>
        <w:t>закрыть</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Акты основных станций могут быть переданы только при условии наличия на специализированном федеральном портале сведений о рассадке. Статус «Контроль технической готовности завершен» может быть передан при участии члена ГЭК с использованием токена члена ГЭК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всех основных станций организатора и всех основных станций КЕГЭ в соответствии с количеством назначенных участников для каждой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этапе проведения экзамена член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позднее 07:30 по местному времени в день проведения экзамена прибывает на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ППЭ должны быть выданы ВДП в количестве, равном числу аудиторий, умноженному на 2:</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ВДП для упаковки бланков регистрации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ВДП для упаковки испорченных и бракованных бланков регистрации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Должны быть флеш-накопители для сохранения ответов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присутствует: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получении и распечатке пакета руководителя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09:30 по местному времени в Штабе ППЭ совместно с техническим специалистом ППЭ в личном кабинете ППЭ скачивает ключ доступа к ЭМ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вместе с техническим специалистом ППЭ проходит по всем аудиториям и после загрузки техническим специалистом ППЭ на станцию организатора или станцию (станции) КЕГЭ ключа доступа к ЭМ выполняет его активацию;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сообщения о завершении работы с токеном извлекает из компьютера (ноутбука) токен члена ГЭК и направляется совместно с техническим специалистом в следующую аудиторию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и технический специалист могут ходить по аудиториям раздельно: сначала технический специалист загружает ключ доступа к ЭМ, после чего член ГЭК самостоятельно, без участия технического специалиста, выполняет процедуру активации ключа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 xml:space="preserve">Кнопку «Прочитать КИМ» на станции КЕГЭ нажимать </w:t>
      </w:r>
      <w:r>
        <w:rPr>
          <w:rFonts w:ascii="Times New Roman" w:hAnsi="Times New Roman"/>
          <w:b/>
        </w:rPr>
        <w:t xml:space="preserve">не </w:t>
      </w:r>
      <w:r>
        <w:rPr>
          <w:rFonts w:ascii="Times New Roman" w:hAnsi="Times New Roman"/>
        </w:rPr>
        <w:t>нужно - это действие приравнивается к вскрытию ЭМ, что запрещено до 10.00.</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отсутствии доступа в личный кабинет ППЭ по основному и резервному каналам в 09:35 по местному времени обращается на горячую линию сопровождения ППЭ для оформления заявки на получение пароля доступа к ЭМ. Пароли доступа к ЭМ (не менее двух паролей на каждый предмет) выдаются не ранее 09:45 по местному времени, если доступ в сеть «Интернет» восстановить не удалось;</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оказывает содействие руководителю ППЭ в решении возникающих в процессе экзамена ситуаций, не регламентированных нормативными правовыми актами и настоящей Инструкцией;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обеспечивает печать дополнительного комплекта ЭМ (т.е. бланка регистрации) в аудитории ППЭ в случае опоздания участника экзамена, выявления брака или порчи распечатанного комплекта;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обеспечивает печать дополнительного комплекта ЭМ (т.е. бланка регистрации) в аудитории ППЭ сверх количества распределенных в аудиторию участников экзамена по согласованию с председателем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техническим специалистом в Штабе ППЭ в личном кабинете ППЭ запрашивает резервный ключ доступа к ЭМ, в случае недостатка доступных для печати комплектов ЭМ (бланков регистрации) на основной станции организатора или в случае использования резервной станции организатора или резервной станции КЕГЭ, после загрузки резервного ключа доступа к ЭМ на соответствующую станцию организатора активирует его токеном;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необходимости, повторно получить ранее запрошенный ключ доступа на резервные ЭМ или резервную станцию организатора возможно путем скачивания основного ключа доступа к ЭМ</w:t>
      </w:r>
      <w:r>
        <w:rPr>
          <w:rFonts w:ascii="Times New Roman" w:hAnsi="Times New Roman"/>
          <w:b/>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В случае возникновения нештатной ситуации при использовании резервного ключа доступа к ЭМ на станциях организатора необходимо незамедлительно обратиться на горячую линию сопровождения ППЭ для выяснения причины. Не нужно делать попытки запросить резервный ключ повторно.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Член ГЭК обеспечивает активацию ключа доступа к ЭМ в случае восстановления работоспособности станции КЕГЭ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восстановления работоспособности станции КЕГЭ совместно с организатором в аудитории проверяет, что на странице активации экзамена номер бланка регистрации, отображаемый на экране компьютера (ноутбука), соответствует номеру в бумажном бланке регистрации, и предлагает участнику экзамена ввести код активации и нажать кнопку «Продолжить экзамен»;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в случае использования резервной станции КЕГЭ контролирует, что участник экзамена продолжает выполнение работы с тем же бланком регистрации, и совместно с организатором в аудитории информирует участника экзамена о необходимости повторного ввода ответов на задания, которые были выполнены на вышедшей из строя станции, а также о том, что </w:t>
      </w:r>
      <w:r>
        <w:rPr>
          <w:rFonts w:ascii="Times New Roman" w:hAnsi="Times New Roman"/>
          <w:b/>
        </w:rPr>
        <w:t>время экзамена не продлевается</w:t>
      </w:r>
      <w:r>
        <w:rPr>
          <w:rFonts w:ascii="Times New Roman" w:hAnsi="Times New Roman"/>
        </w:rPr>
        <w:t>; сохранение ответов с вышедшей из строя станции не выполняется;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контролирует, что вышедшая из строя станция КЕГЭ оставлена в аудитории в зоне видимости камер видеонаблюдения до окончания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информации от руководителя ППЭ о завершении печати ЭМ и успешном начале экзамена на всех станциях КЕГЭ во всех аудиториях ППЭ (все участники ввели код активации экзамена и перешли к выполнению ЭР) в личном кабинете ППЭ подтверждает токеном члена ГЭК передачу техническим специалистом в систему мониторинга готовности ППЭ статуса «Экзамены успешно начались» либо статуса «Ожидание участника» в случае отсутствия всех участников экзамена в ППЭ (в случае если в ППЭ есть аудитории, в которые не явился ни один участник, но при этом есть хотя бы одна аудитория, где экзамен начался, статус «Ожидание участников» не передаётся; после начала экзамена во всех аудиториях, в которые явились участники экзамена, ППЭ передаёт статус «Экзамены успешно начались»). Статус «Экзамены успешно начались» ставиться не ранее 10:05;</w:t>
      </w:r>
      <w:bookmarkStart w:id="21" w:name="_GoBack"/>
      <w:bookmarkEnd w:id="21"/>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Статус «Ожидание участников» – временный, он обязательно должен быть отменён до окончания экзамена. Вместо него должен быть установлен статус «Экзамены успешно начались» в случае если участники явились на экзамен с опозданием, либо статус «Экзамен не состоялся» в случае если членом ГЭК было принято решение об остановке экзамена в ППЭ в связи с неявкой всех распределённых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в течение двух часов от начала экзамена ни один из участников КЕГЭ, распределенных в ППЭ, не явился в ППЭ, член ГЭК по согласованию с председателем ГЭК принимает решение об остановке экзамена в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На станциях организатора выполняется печать протоколов использования станции организатора в аудитории ППЭ (форма ППЭ-23-01) и сохранение электронного журнала работы станции организатора на флеш-накопитель для переноса данных между станциями ППЭ, на станциях КЕГЭ сохраняется электронный журнал работы станции КЕГЭ. Протоколы использования станции организатора в аудитории ППЭ (форма ППЭ-23-01) подписываются техническим специалистом, членом ГЭК и руководителем ППЭ и остаются на хранение в ППЭ. Электронные журналы работы станций организатора, станций КЕГЭ передаются в систему мониторинга готовности ППЭ в личном кабинете ППЭ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отсутствия участников во всех аудиториях ППЭ технический специалист по указанию руководителя ППЭ в личном кабинете ППЭ при участии члена ГЭК с использованием токена члена ГЭК отменяет статус «Ожидание участника» и передает статус «Экзамен не состоялся»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неявки всех распределенных в отдельные аудитории ППЭ участников экзаменов в течение двух часов от начала экзамена принимает решение по согласованию с председателем ГЭК об остановке экзамена в этих аудиториях ППЭ. Протоколы использования станции организатора в ППЭ (форма ППЭ-23-01)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станций КЕГЭ передаются в систему мониторинга готовности ППЭ в личном кабинете ППЭ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b/>
          <w:color w:val="000000"/>
        </w:rPr>
        <w:t>После завершения выполнения ЭР участниками экзамена во всех аудиториях ППЭ (все участники экзамена покинули аудитории) член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подтверждает токеном члена ГЭК передачу статуса «Экзамены завершены»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аудиториях ППЭ после сканирования бланков регистрации участников экзамена организаторами: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приглашению технического специалиста проверяет, что экспортируемые данные не содержат особых ситуаций и сверяет данные о количестве отсканированных бланков регистрации, указанном на станции организатора, с количеством бланков регистрации, указанном в форме ППЭ-11;</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корректности данных подключает к станции организатора токен члена ГЭК для выполнения техническим специалистом экспорта электронных образов бланков регистрации и форм ППЭ, сканируемых в аудитории. Пакет с электронными образами бланков регистрации и форм ППЭ зашифровывается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возникновения нештатной ситуации на станции организатора, которая не может быть решена штатными средствами станции организатора, принимает решение по согласованию с РЦОИ о сканировании бланков регистрации участников соответствующей аудитории и форм ППЭ, предназначенных для сканирования в аудитории, в Штабе ППЭ на станции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осуществляет контроль за получением ЭМ руководителем ППЭ от ответственных организаторов в Штабе ППЭ за специально подготовленным столом, находящимся в зоне видимости камер видеонаблюдения, по форме ППЭ-14-02-К. Все бланки регистрации сдаются в одном запечатанном ВДП с заполненным сопроводительным бланком.</w:t>
      </w:r>
    </w:p>
    <w:p>
      <w:pPr>
        <w:pStyle w:val="111"/>
        <w:spacing w:lineRule="auto" w:line="240" w:before="0" w:after="0"/>
        <w:ind w:firstLine="709" w:left="0" w:right="0"/>
        <w:contextualSpacing/>
        <w:rPr>
          <w:rFonts w:ascii="Times New Roman" w:hAnsi="Times New Roman"/>
        </w:rPr>
      </w:pPr>
      <w:r>
        <w:rPr>
          <w:rFonts w:ascii="Times New Roman" w:hAnsi="Times New Roman"/>
        </w:rPr>
        <w:t>Также сдаются:</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 xml:space="preserve">запечатанный ВДП с испорченными (бракованными) бланками регистрации; калибровочный лист с каждой использованной в аудитории станции организатора; </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формы ППЭ-05-02-К, ППЭ-12-02, ППЭ-12-04-МАШ;</w:t>
      </w:r>
    </w:p>
    <w:p>
      <w:pPr>
        <w:pStyle w:val="BodyText"/>
        <w:spacing w:lineRule="auto" w:line="240" w:before="0" w:after="0"/>
        <w:ind w:firstLine="709" w:left="0" w:right="126"/>
        <w:contextualSpacing/>
        <w:rPr>
          <w:rFonts w:ascii="Times New Roman" w:hAnsi="Times New Roman"/>
        </w:rPr>
      </w:pPr>
      <w:r>
        <w:rPr>
          <w:rFonts w:ascii="Times New Roman" w:hAnsi="Times New Roman"/>
        </w:rPr>
        <w:t>использованные черновики и черновиками КЕГЭ;</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неиспользованные черновики;</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инструкции по использованию ПО для сдачи КЕГЭ;</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приложения к паспорту станции КЕГЭ;</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служебные записки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Присутствует при завершении техническим специалистом экзамена на станциях КЕГЭ, на которых работали удалённые из ППЭ или не завершившие экзамен по объективным причинам участники КЕГЭ (а также участники, отказавшиеся подтвердить ознакомление с протоколом ответов участника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приглашению технического специалиста проходит к станции КЕГЭ, на которой будет производиться формирование (экспорт) пакета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Присутствует при подключении техническим специалистом к станции КЕГЭ флеш- накопителя с сохраненными ответами участников КЕГЭ и выполнении проверки сохраненных ответов;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Для выполнения действия необходимо выбрать станцию КЕГЭ, имеющую два свободных USB-порта. В случае использования USB-концентратора рекомендуется токен подключать непосредственно в USB-порт компьютера (ноутбука), а флеш-накопитель через USB -концентратор.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отсутствия нештатных ситуаций в результате выполненной проверки подключает к станции КЕГЭ токен и вводит пароль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даёт указание техническому специалисту запустить формирование (экспорт)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Токен члена ГЭК не следует извлекать до окончания процедуры формирования (экспорта)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 с ответами участников КЕГЭ формируется на основе всех сохраненных на флеш-накопитель ответов участников экзамена. Одновременно выполняется формирование и сохранение сопроводительного бланка к флеш-накопителю, включающего сведения о содержании сформированного пакета.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Подписывает распечатанный сопроводительный бланк к флеш-накопителю для сохранения ответов участников КЕГЭ. Указанный сопроводительный бланк может быть распечатан на любом компьютере (ноутбуке) с подключенным принтером.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Каждый пакет должен храниться и передаваться на том флеш-накопителе, на котором он был создан. Недопустимо копировать или перемещать пакеты с ответами участников экзамена с одного флеш-накопителя на другой (копировать несколько пакетов на один флеш-накопитель). В случае наличия на флеш-накопителе ранее сформированного пакета и/или сопроводительного бланка они будут удалены.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наличия в результате выполненной проверки сообщений о поврежденных файлах ответов присутствует при устранении проблем техническим специалистом.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Штабе ППЭ совместно с руководителем ППЭ сверяет данные сопроводительного бланка (бланков) к флеш-накопителю (флеш-накопителям) для сохранения ответов участников экзамена с ведомостью сдачи экзамена в аудитории (аудиториях).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подтверждает токеном члена ГЭК передачу техническим специалистом ППЭ в личном кабинете в Штабе ППЭ пакета (пакетов для каждой аудитории проведения) с ответами участников КЕГЭ в РЦОИ (может быть передан вместе с пакетом электронных образов бланков и форм ППЭ после завершения процедуры сканирования).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подтверждает токеном члена ГЭК передачу техническим специалистом ППЭ электронных журналов всех основных и резервных станций организатора и станций КЕГЭ в систему мониторинга готовности ППЭ (передачу журналов станций КЕГЭ следует выполнять после подтверждения получения пакетов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Для обеспечения сканирования форм ППЭ в Штабе ППЭ </w:t>
      </w:r>
      <w:r>
        <w:rPr>
          <w:rFonts w:ascii="Times New Roman" w:hAnsi="Times New Roman"/>
        </w:rPr>
        <w:t>член ГЭК по приглашению технического специалиста ППЭ активирует загруженный на станцию Штаба ППЭ ключ доступа к ЭМ: подключает к станции Штаба ППЭ токен члена ГЭК и вводит пароль доступа к нему;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Активация станции Штаба ППЭ должна быть выполнена непосредственно перед началом процесса сканирования ЭМ, поступающих из аудиторий в Штаб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руководителем ППЭ оформляет необходимые документы по результатам проведения экзамена в ППЭ по следующим формам: ППЭ 13-03-К, ППЭ-14-02-К;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приглашению технического специалиста ППЭ проверяет, что экспортируемые данные не содержат особых ситуаций и сверяет данные о количестве отсканированных бланков регистрации по аудиториям, указанные на станции Штаба ППЭ, с количеством бланков регистрации из формы ППЭ-13-03-К;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техническим специалистом ППЭ несёт ответственность за экспортируемые данные, в том числе за качество сканирования бланков регистрации и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корректности данных подключает к станции Штаба ППЭ токен члена ГЭК и вводит пароль доступа к нему для выполнения техническим специалистом ППЭ экспорта электронных образов форм ППЭ: пакет с электронными образами форм ППЭ зашифровывается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личном кабинете ППЭ подтверждает токеном члена ГЭК загрузку техническим специалистом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пакета (пакетов) с электронными образами бланков регистрации и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пакета (пакетов) с ответами участников КЕГЭ (если не был передан ранее, пакет (пакеты) с ответами участников КЕГЭ могут быть переданы после завершения сверки 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присутствует при проверке соответствия загруженных пакетов информации о рассадке и передаче пакетов в РЦОИ посредством личного кабинета ППЭ. В случае возникновения нештатной ситуации, связанной с рассадкой, обеспечивает получение по телефону от РЦОИ кода, который позволит выполнить передачу пакетов;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руководителем ППЭ и техническим специалистом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ожидает в Штабе ППЭ подтверждения от РЦОИ факта успешного получения и расшифровки переданных пакетов с электронными образами бланков регистрации и форм ППЭ, получения пакета (пакетов) с ответами участников КЕГЭ (статус всех пакетов принимает значение «Подтвержден»).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по запросу РЦОИ необходимо использовать новый пакет с сертификатами специалистов РЦОИ для экспорта бланков и (или) форм ППЭ и (или) ответов участников КЕГЭ, совместно с техническим специалистом выполняет повторный экспорт на соответствующей станции организатора, станции Штаба ППЭ или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по запросу РЦОИ необходимо повторно отсканировать бланки, отсканированные на станции организатора (несоответствие состава или качества сканирования), принимает решение по согласованию с РЦОИ о сканировании бланков соответствующей аудитории, и форм ППЭ, предназначенных для сканирования в аудитории, на станции Штаба ППЭ в Штабе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присутствует при вскрытии руководителем ППЭ ВДП с бланками, полученными от ответственных организаторов соответствующей аудитории, пересчёте бланков и передаче ВДП техническому специалисту;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приглашению технического специалиста проверяет, что экспортируемые данные не содержат особых ситуаций и сверяет данные о количестве отсканированных бланков по соответствующей аудитории, указанные на Станции Штаба ППЭ, с количеством бланков из формы ППЭ-13-03-К;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техническим специалистом проверяет качество сканирования ЭМ и несёт ответственность за экспортируемые данные, в том числе за качество сканирования и соответствие передаваемых данных информации о рассадке;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корректности данных по всем аудиториям подключает к станции Штаба ППЭ токен члена ГЭК для выполнения техническим специалистом экспорта электронных образов бланков регистрации и форм ППЭ. Пакет с электронными образами бланков регистрации и форм ППЭ зашифровывается для передачи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присутствует при переупаковке бланков регистрации руководителем ППЭ: бланки регистрации помещаются в новый ВДП, на его сопроводительный бланк переносится информация с ВДП, в котором бланки регистрации были доставлены в Штаб ППЭ, а также вкладывается калибровочный лист и первый ВДП;</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от РЦОИ подтверждения по всем пакетам подписывает распечатанный протокол проведения процедуры сканирования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подтверждает токеном члена ГЭК передачу техническим специалистом ППЭ в систему мониторинга готовности ППЭ в личном кабинете ППЭ электронных журналов работы основной и резервной станций Штаба ППЭ и статуса «Материалы переданы в РЦОИ»;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руководителем ППЭ ещё раз пересчитывает все бланки регистрации, сверяют информацию на сопроводительных бланках ВДП, в которых бланки регистрации были доставлены из аудиторий в Штаб ППЭ, и нового ВДП, проверяют, что в новые ВДП вложены калибровочные листы и ВДП, в которых бланки регистрации были доставлены из аудиторий в Штаб ППЭ, и запечатывают ВДП с бланками регистрации для хранения и транспортировки.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окончания экзамена член ГЭК упаковывает за специально подготовленным столом, находящимся в зоне видимости камер видеонаблюдения, материалы экзамена. Все упакованные материалы помещаются на хранение.</w:t>
      </w:r>
    </w:p>
    <w:p>
      <w:pPr>
        <w:pStyle w:val="111"/>
        <w:spacing w:lineRule="auto" w:line="240" w:before="0" w:after="0"/>
        <w:ind w:firstLine="740" w:left="0" w:right="0"/>
        <w:contextualSpacing/>
        <w:jc w:val="both"/>
        <w:rPr/>
      </w:pPr>
      <w:r>
        <w:rPr>
          <w:rFonts w:ascii="Times New Roman" w:hAnsi="Times New Roman"/>
        </w:rPr>
        <w:t xml:space="preserve">По завершении экзамена члены ГЭК составляют отчет члена ГЭК о проведении ЕГЭ в ППЭ (форма ППЭ-10), который в тот же день передается в ГЭК по электронному адресу </w:t>
      </w:r>
      <w:hyperlink r:id="rId2" w:tgtFrame="mailto:ooko@kcioko.ru">
        <w:r>
          <w:rPr>
            <w:rStyle w:val="ListLabel2"/>
            <w:rFonts w:ascii="Times New Roman" w:hAnsi="Times New Roman"/>
          </w:rPr>
          <w:t>ooko@kcioko.ru</w:t>
        </w:r>
      </w:hyperlink>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2"/>
        <w:numPr>
          <w:ilvl w:val="1"/>
          <w:numId w:val="6"/>
        </w:numPr>
        <w:spacing w:lineRule="auto" w:line="240" w:before="0" w:after="0"/>
        <w:contextualSpacing/>
        <w:jc w:val="center"/>
        <w:rPr>
          <w:rFonts w:ascii="Times New Roman" w:hAnsi="Times New Roman"/>
        </w:rPr>
      </w:pPr>
      <w:bookmarkStart w:id="22" w:name="__RefHeading___6"/>
      <w:bookmarkStart w:id="23" w:name="bookmark18"/>
      <w:bookmarkStart w:id="24" w:name="bookmark19"/>
      <w:bookmarkStart w:id="25" w:name="bookmark17"/>
      <w:bookmarkEnd w:id="22"/>
      <w:r>
        <w:rPr>
          <w:rFonts w:ascii="Times New Roman" w:hAnsi="Times New Roman"/>
        </w:rPr>
        <w:t>Инструкция для руководителя ППЭ</w:t>
      </w:r>
      <w:bookmarkEnd w:id="23"/>
      <w:bookmarkEnd w:id="24"/>
      <w:bookmarkEnd w:id="25"/>
      <w:r>
        <w:rPr>
          <w:rStyle w:val="FootnoteReference"/>
          <w:rFonts w:ascii="Times New Roman" w:hAnsi="Times New Roman"/>
        </w:rPr>
        <w:footnoteReference w:id="6"/>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Подготовка к проведению 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Руководитель ППЭ </w:t>
      </w:r>
      <w:r>
        <w:rPr>
          <w:rFonts w:ascii="Times New Roman" w:hAnsi="Times New Roman"/>
          <w:u w:val="single"/>
        </w:rPr>
        <w:t>совместно с руководителем организации</w:t>
      </w:r>
      <w:r>
        <w:rPr>
          <w:rFonts w:ascii="Times New Roman" w:hAnsi="Times New Roman"/>
        </w:rPr>
        <w:t xml:space="preserve"> обеспечивают готовность ППЭ к проведению КЕГЭ в соответствии с требованиями к ППЭ, изложенными в инструкции по подготовке и проведению единого государственного экзамена в 2026 году, в том числе в части технического оснащения ППЭ и хранения основного и резервного флеш-накопителя для хранения интернет-пакетов в сейфе Штаба ППЭ с осуществлением мер информационной безопасности. </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Также необходимо подготовить не менее 1 флеш-накопителя для переноса данных между станциями в ППЭ (рекомендуемое количество - по числу технических специалистов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Руководитель ППЭ должен контролировать своевременность загрузки ЭМ для экзаменов, проводимых в данном ППЭ. В случае выявления проблем с загрузкой ЭМ необходимо принимать меры для устранения этих проблем. Интернет-пакеты становятся доступны за 5 рабочих дней до даты экзамена - для основных дней экзаменационного периода, за 3 рабочих дня - для резервных дней экзаменационного периода и формируются на основе сведений о распределённых по ППЭ участниках и аудиторном фонде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чем за 2 недели до КЕГЭ </w:t>
      </w:r>
      <w:r>
        <w:rPr>
          <w:rFonts w:ascii="Times New Roman" w:hAnsi="Times New Roman"/>
        </w:rPr>
        <w:t>руководитель ППЭ совместно с руководителем организации обеспечивают техническому специалисту возможность:</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получить из РЦОИ перечень стандартного ПО, предоставляемого участнику экзамена во время экзамена, и дистрибутивы этого ПО (текстовые редакторы, редакторы электронных таблиц, среды программирования на языках: C++, Pascal, Java, Python);</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проверить соответствие технических характеристик компьютеров (ноутбуков), на которые будет установлено ПО «Станция КЕГЭ», предъявляемым требованиям для установки ПО «Станция КЕГЭ», а также минимальным требованиям, обеспечивающим стабильную работу версий стандартного ПО, предоставляемого участнику КЕГЭ, включенных в перечень, определенный субъектом Российской Федерации);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установить (начать установку) на компьютеры (ноутбуки), предназначенные для использования в качестве станций КЕГЭ, стандартное ПО, предоставляемое участнику экзамена во время экзамена (текстовые редакторы, редакторы электронных таблиц, среды программирования на языках: C++, Pascal, Java, Python) в соответствии с перечнем, полученным из РЦОИ.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чем за один календарный день до проведения экзамена </w:t>
      </w:r>
      <w:r>
        <w:rPr>
          <w:rFonts w:ascii="Times New Roman" w:hAnsi="Times New Roman"/>
        </w:rPr>
        <w:t>руководитель ППЭ и руководитель организации обеспечивают и проверяют наличие: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аудиторий, необходимых для проведения КЕГЭ, в том числе аудиторий, необходимых для проведения КЕГЭ для участников экзамена с ОВЗ, участников экзамена - детей-инвалидов и инвалидов</w:t>
      </w:r>
      <w:r>
        <w:rPr>
          <w:rStyle w:val="FootnoteReference"/>
          <w:rFonts w:ascii="Times New Roman" w:hAnsi="Times New Roman"/>
        </w:rPr>
        <w:footnoteReference w:id="7"/>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аппаратно-программного комплекса для печати ЭМ, автоматизированных рабочих мест участников экзамена, расположенных в зоне видимости камер в каждой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параметры электрических сетей организации, на базе которой расположен ППЭ, позволяют одновременно обеспечить электропитание для планируемого количества компьютеров с установленным ПО «Станция КЕГЭ», станциями организатора, подключённых к ним принтеров и сканеров, и техники, расположенной в Штабе ППЭ (необходимо учитывать также дополнительные потребители электроэнергии - осветительные приборы, системы охлаждения воздуха (при наличии), рециркуляторы и прочее).</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чем за один календарный день до начала проведения экзамена </w:t>
      </w:r>
      <w:r>
        <w:rPr>
          <w:rFonts w:ascii="Times New Roman" w:hAnsi="Times New Roman"/>
        </w:rPr>
        <w:t>также следует: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подготовить черновики КЕГЭ (на каждого участника экзамена): обеспечить наличие штампа организации, на базе которой расположен ППЭ, на каждой странице черновика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подготовить черновики;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получить от технического специалиста и подготовить инструкции по использованию ПО для сдачи КЕГЭ на каждого участника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подготовить достаточное количество бумаги для печати бланков регистрации в аудиториях;</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не ранее чем за 5 календарных дней, но не позднее 16:00</w:t>
      </w:r>
      <w:r>
        <w:rPr>
          <w:rFonts w:ascii="Times New Roman" w:hAnsi="Times New Roman"/>
        </w:rPr>
        <w:t xml:space="preserve"> по местному времени календарного дня, предшествующего дню экзамена, обеспечить возможность техническому специалисту провести техническую подготовку ППЭ к экзамену.</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Не ранее чем за 2 рабочих дня, но не позднее 16:00</w:t>
      </w:r>
      <w:r>
        <w:rPr>
          <w:rFonts w:ascii="Times New Roman" w:hAnsi="Times New Roman"/>
        </w:rPr>
        <w:t xml:space="preserve"> по местному времени календарного дня, предшествующего дню экзамена, совместно с членом ГЭК и техническим специалистом провести контроль технической готовности ППЭ (подробнее о сроках проведения этапов подготовки и проведения экзамена см. региональные инструкции рекомендации по подготовке и проведению единого государственного экзамена в пунктах проведения экзаменов в 2026 году), в том числе: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получить от технического специалиста калибровочные листы (тестовые страницы границ печати) станций организатора и подготовить их для поаудиторной выдачи организаторам;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получить от технического специалиста коды активации станций КЕГЭ и подготовить их для поаудиторной выдачи организаторам;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получить от технического специалиста приложения к паспорту станции КЕГЭ (для каждой станции КЕГЭ, включая резервные) и подготовить их для поаудиторной выдачи организаторам;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проконтролировать передачу в систему мониторинга готовности ППЭ в личном кабинете ППЭ электронных актов технической готовности со всех основных и резервных станций КЕГЭ, станций организатора, станций Штаба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проконтролировать передачу в систему мониторинга готовности ППЭ статуса «Контроль технической готовности завершен».</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Важно</w:t>
      </w:r>
      <w:r>
        <w:rPr>
          <w:rFonts w:ascii="Times New Roman" w:hAnsi="Times New Roman"/>
        </w:rPr>
        <w:t>! Акты основных станций могут быть переданы только при условии наличия на специализированном федеральном портале сведений о рассадке. Статус «Контроль технической готовности завершён» может быть передан при условии наличия на специализированном федеральном портале сведений о рассадке, а также при наличии переданных электронных актов технической готовности станций организатора для каждой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Заполнить и подписать форму ППЭ-01-01-К. Указанный протокол удостоверяется подписями технического специалиста, руководителя ППЭ и членов ГЭК.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Заполнить форму ППЭ-01 совместно с руководителем организации и оставить ее на хранение в Штабе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Руководитель ППЭ должен назначить одного из технических специалистов (в случае наличия в ППЭ нескольких технических специалистов) ответственным за включение видеонаблюдения в день проведения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Проведение ЕГЭ в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До начала экзамена руководитель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Руководитель ППЭ несет персональную ответственность за соблюдение мер информационной безопасности и исполнение порядка проведения ГИА в ППЭ на всех этапах проведения ЕГЭ в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ППЭ выдаются ВДП в количестве, равном числу аудиторий, умноженному на 2:</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ВДП для упаковки бланков регистрации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ВДП для упаковки испорченных и бракованных бланков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Обеспечивает распечатку пакета руководителя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Выдает ответственным организаторам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формы ППЭ-05-01, ППЭ-05-02-К, ППЭ-12-02, ППЭ-12-04-МАШ, ППЭ-16;</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напечатанную тестовую страницу границ печати (калибровочный лист) станции организатора соответствующей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инструкции по использованию ПО для сдачи КЕГЭ (на каждого участника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приложения к паспорту станции КЕГЭ (на каждую станцию КЕГЭ, подготовленную для проведения экзамена в аудитории, </w:t>
      </w:r>
      <w:r>
        <w:rPr>
          <w:rFonts w:ascii="Times New Roman" w:hAnsi="Times New Roman"/>
          <w:color w:val="000000"/>
        </w:rPr>
        <w:t>в соответствии с номерами станций в аудитории</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код активации экзамена на станции КЕГЭ (код активации экзамена одинаковый для всех станций КЕГЭ в одной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2 ВДП (для упаковки бланков регистрации, для упаковки испорченных и бракованных бланков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Руководитель ППЭ должен запланировать необходимое количество листов формы ППЭ-12-04-МАШ на аудиторию и продумать схему передачи в аудитории дополнительных листов формы ППЭ-12-04-МАШ (например, организовать выдачу по 2 листа указанной формы ППЭ либо выдавать дополнительный лист по запросу организаторов в аудитории при необходимости через организатора вне аудитории). Общее количество листов формы ППЭ-12-04-МАШ на ППЭ определяется в РЦОИ при формировании пакета руководителя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Не позднее 09:45 по местному времени </w:t>
      </w:r>
      <w:r>
        <w:rPr>
          <w:rFonts w:ascii="Times New Roman" w:hAnsi="Times New Roman"/>
        </w:rPr>
        <w:t>выдать в Штабе ППЭ ответственным организаторам в аудиториях:</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КЕГЭ (на каждого участника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Черновики КЕГЭ выдаются участникам экзамена вместе с бланками регистрации, черновики выдаются только во время экзамена по запросу участников экзамена – в случае если им не хватит места для записей в черновике КЕГЭ (включая оборотные стороны его листов)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Этап завершения экзамена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завершения выполнения ЭР во всех аудиториях ППЭ (все участники экзамена покинули аудитории) дать указание техническому специалисту ППЭ передать статус «Экзамены завершены» в систему мониторинга готовности ППЭ в личном кабинете</w:t>
      </w:r>
      <w:r>
        <w:rPr>
          <w:rFonts w:ascii="Times New Roman" w:hAnsi="Times New Roman"/>
          <w:spacing w:val="-7"/>
        </w:rPr>
        <w:t xml:space="preserve"> </w:t>
      </w:r>
      <w:r>
        <w:rPr>
          <w:rFonts w:ascii="Times New Roman" w:hAnsi="Times New Roman"/>
        </w:rPr>
        <w:t>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Штабе ППЭ за специально подготовленным столом, находящимся в зоне видимости камер видеонаблюдения, в присутствии членов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получить от всех ответственных организаторов в аудитории следующие материалы: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запечатанный ВДП с бланками регистрации;</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калибровочный лист с каждой станции организатора, использованной в аудитории; запечатанный ВДП с испорченными (бракованными) бланками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использованные черновики и черновики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неиспользованные черновики;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ППЭ-05-02-К, ППЭ-12-02 (при наличии), ППЭ-12-04-МАШ; ППЭ-05-01 (2 экземпляра), ППЭ-23, ППЭ-15;</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инструкции по использованию ПО для сдачи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приложения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служебные записки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в течение двух часов от начала экзамена ни один из участников КЕГЭ, распределенных в ППЭ, не явился в ППЭ, член ГЭК по согласованию с председателем ГЭК принимает решение об остановке экзамена в ППЭ. Технический специалист завершает экзамены на всех станциях организатора и станциях КЕГЭ во всех аудиториях ППЭ, включая резервные станции организатора и станции КЕГЭ. Технический специалист на станциях организатора выполняет печать протоколов использования станции организатора в аудитории ППЭ (форма ППЭ-23-01) и сохранение электронного журнала работы станции организатора на флеш-накопитель для переноса данных между станциями ППЭ, на станциях КЕГЭ сохраняет электронный журнал работы станции КЕГЭ. Протоколы использования станции организатора в аудитории ППЭ (форма ППЭ-23-01)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станции КЕГЭ передаются в систему мониторинга готовности ППЭ в личном кабинете ППЭ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отсутствия участников экзамена во всех аудиториях ППЭ технический специалист по указанию руководителя ППЭ в личном кабинете ППЭ передает при участии члена ГЭК с использованием токена члена ГЭК статус «Экзамен не состоялся» в систему мониторинга готовности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неявки всех распределенных в отдельные аудитории ППЭ участников экзаменов в течение двух часов от начала экзамена и принятия членом ГЭК по согласованию с председателем ГЭК решения об остановке экзамена в этих аудиториях ППЭ, технический специалист завершает экзамены на станциях организатора, станциях КЕГЭ в этих аудиториях ППЭ, печатает протоколы использования станции организатора в аудитории ППЭ (форма ППЭ-23-01) и сохраняет электронный журнал работы станции организатора на флеш-накопитель для переноса данных между станциями ППЭ, на станциях КЕГЭ сохраняет электронный журнал работы станции КЕГЭ. Протоколы использования станции организатора в аудитории ППЭ (форма ППЭ-23-01) подписываются техническим специалистом, членом ГЭК и руководителем ППЭ и остаются на хранение в ППЭ. Электронные журналы работы станции организатора, станций КЕГЭ передаются в систему мониторинга готовности ППЭ в личном кабинете ППЭ при участии члена ГЭК с использованием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принимает от технического специалиста флеш-накопитель (флеш-накопители) с ответами участников КЕГЭ вместе с сопроводительным(и) бланком(ами) к нему (ним).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совместно с членом ГЭК сверяет данные сопроводительного бланка (бланков) к флеш-накопителю (флеш-накопителям) с данными формы ППЭ-05-02-К;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контролирует передачу техническим специалистом ППЭ в личный кабинет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пакета (пакетов для каждой аудитории) с ответами участников КЕГЭ в РЦОИ (может быть передан вместе с пакетом электронных образов бланков и форм ППЭ после завершения процедуры сканирования);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электронных журналов всех основных и резервных станций организатора и станций КЕГЭ в систему мониторинга готовности ППЭ (передачу журналов станций КЕГЭ следует выполнять после подтверждения получения пакетов с ответами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После завершения сканирования во всех аудиториях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получении от ответственного организатора ЭМ из аудитории заполняет форму ППЭ-13-03-К на основе данных Сопроводительного бланка к материалам ЕГЭ, не вскрывая ВДП с бланками.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оформляет необходимые документы по результатам проведения экзамена в ППЭ по следующим формам: ППЭ 13-03-К, ППЭ-14-02-К;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передает техническому специалисту заполненные формы ППЭ: ППЭ-07, ППЭ-13-03-К, ППЭ-18-МАШ (при наличии), ППЭ-19 (при наличии), ППЭ-21 (при наличии), ППЭ-22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сопроводительный(ые) бланк(и) к флеш-накопителю(ям) с ответами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Также передаются для сканирования материалы апелляций о нарушении Порядка (формы ППЭ-02 и ППЭ-03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Следующие формы ППЭ сканируются в аудиториях на станциях организатора: ППЭ-05-02-К, ППЭ-12-02 (при наличии), ППЭ-12-04-МАШ.</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Получает отсканированные формы ППЭ от технического специалиста.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Совместно с членом ГЭК контролирует передачу в РЦОИ техническим специалистом ППЭ с помощью личного кабинета ППЭ в ППЭ в Штабе ППЭ: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пакетов с электронными образами бланков регистрации и форм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пакета (пакетов) с ответами участников КЕГЭ (если не был передан ранее, пакет (пакеты) с ответами участников КЕГЭ могут быть переданы после завершения сверки руководителем ППЭ и членом ГЭК данных сопроводительного бланка к флеш-накопителю с ведомостями сдачи экзамена в аудиториях до завершения сканирования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и техническим специалистом ППЭ ожидает в Штабе ППЭ подтверждения от РЦОИ факта успешного получения и расшифровки переданных пакетов с электронными образами бланков и форм ППЭ, пакета (пакетов) с ответами участников КЕГЭ (статус всех пакетов принимает значение «Подтвержден»);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получения от РЦОИ подтверждения по всем пакетам подписывает распечатанный протокол проведения процедуры сканирования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членом ГЭК контролирует передачу техническим специалистом ППЭ в систему мониторинга готовности ППЭ в личном кабинете ППЭ в Штабе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электронных журналов работы основной и резервной станций Штаба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статуса «Материалы переданы в РЦОИ». Статус «Материалы переданы в РЦОИ» может быть передан, если в РЦОИ было передано подтверждение о завершении передачи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совместно с руководителем ППЭ ещё раз пересчитывает все бланки регистрации, сверяют информацию на сопроводительных бланках ВДП, в которых бланки регистрации были доставлены из аудиторий в Штаб ППЭ, и нового ВДП, проверяют, что в новые ВДП вложены калибровочные листы и ВДП, в которых бланки регистрации были доставлены из аудиторий в Штаб ППЭ, и запечатывают ВДП с бланками регистрации для хранения и транспортировки.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Присутствует при упаковке членами ГЭК материалов экзамена для последующей передачи на хранение, за специально подготовленным столом, находящимся в зоне видимости камер видеонаблюдения.</w:t>
      </w:r>
    </w:p>
    <w:p>
      <w:pPr>
        <w:pStyle w:val="BodyText"/>
        <w:spacing w:lineRule="auto" w:line="240" w:before="0" w:after="0"/>
        <w:ind w:firstLine="708" w:left="112" w:right="106"/>
        <w:contextualSpacing/>
        <w:rPr>
          <w:rFonts w:ascii="Times New Roman" w:hAnsi="Times New Roman"/>
        </w:rPr>
      </w:pPr>
      <w:bookmarkStart w:id="26" w:name="bookmark20"/>
      <w:r>
        <w:rPr>
          <w:rFonts w:ascii="Times New Roman" w:hAnsi="Times New Roman"/>
        </w:rPr>
        <w:t>Флеш-накопитель (флеш-накопители) с ответами участников КЕГЭ, бумажные ЭМ ЕГЭ после направления ответов участников КЕГЭ и отсканированных изображений бланков регистрации и форм ППЭ хранятся в ППЭ.</w:t>
      </w:r>
      <w:bookmarkEnd w:id="26"/>
    </w:p>
    <w:p>
      <w:pPr>
        <w:pStyle w:val="BodyText"/>
        <w:spacing w:lineRule="auto" w:line="240" w:before="0" w:after="0"/>
        <w:ind w:firstLine="708" w:left="112" w:right="106"/>
        <w:contextualSpacing/>
        <w:rPr>
          <w:rFonts w:ascii="Times New Roman" w:hAnsi="Times New Roman"/>
        </w:rPr>
      </w:pPr>
      <w:r>
        <w:rPr>
          <w:rFonts w:ascii="Times New Roman" w:hAnsi="Times New Roman"/>
        </w:rPr>
      </w:r>
    </w:p>
    <w:p>
      <w:pPr>
        <w:pStyle w:val="Heading2"/>
        <w:numPr>
          <w:ilvl w:val="1"/>
          <w:numId w:val="6"/>
        </w:numPr>
        <w:spacing w:lineRule="auto" w:line="240" w:before="0" w:after="0"/>
        <w:ind w:firstLine="720" w:left="0" w:right="0"/>
        <w:contextualSpacing/>
        <w:jc w:val="center"/>
        <w:rPr>
          <w:rFonts w:ascii="Times New Roman" w:hAnsi="Times New Roman"/>
        </w:rPr>
      </w:pPr>
      <w:bookmarkStart w:id="27" w:name="__RefHeading___7"/>
      <w:bookmarkStart w:id="28" w:name="bookmark21"/>
      <w:bookmarkStart w:id="29" w:name="bookmark22"/>
      <w:bookmarkEnd w:id="27"/>
      <w:r>
        <w:rPr>
          <w:rFonts w:ascii="Times New Roman" w:hAnsi="Times New Roman"/>
        </w:rPr>
        <w:t>Инструкция для организатора в аудитории</w:t>
      </w:r>
      <w:bookmarkEnd w:id="28"/>
      <w:bookmarkEnd w:id="29"/>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 этапе проведения экзамена организаторы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Ответственный организатор, назначенный руководителем ППЭ, распределяет роли организаторов в аудитории: на процедуру печати бланков регистрации - организатор, ответственный за печать бланков регистрации, и организатор, ответственный за проверку качества бланков регистрации; на процедуру расшифровки КИМ на станциях КЕГЭ - организатор, ответственный за расшифровку КИМ на ПО «Станция КЕГЭ», и организатор, ответственный за проведение инструктажа; также определяется организатор, ответственный за сканирование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Получают от руководителя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ППЭ-05-01 (2 экземпляра), ППЭ-05-02-К, ППЭ-12-02, ППЭ-12-04-МАШ, ППЭ-16;</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напечатанную тестовую страницу границ печати (калибровочный лист) станции организатора соответствующей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таблички с номерами аудиторий;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инструкции по использованию ПО для сдачи КЕГЭ (для каждого участника); приложения к паспорту станции КЕГЭ (на каждую станцию КЕГЭ, подготовленную для проведения экзамена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код активации экзамена на ПО «Станция КЕГЭ» (код активации экзамена одинаковый для всех станций КЕГЭ в одной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2 ВДП (для упаковки бланков регистрации участников экзамена, для упаковки испорченных и бракованных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Не позднее 08:45 по местному времени проходят в свою аудиторию: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раскладывают на рабочие места участников экзамена приложения к паспорту станции КЕГЭ в соответствии с номерами компьютеров (ноутбуков), указанных в приложении к паспорту станции КЕГЭ (номер компьютера (ноутбука) отображён в интерфейсе станции КЕГЭ, см. рисунок), а также инструкции по использованию ПО для сдачи КЕГЭ.</w:t>
      </w:r>
    </w:p>
    <w:p>
      <w:pPr>
        <w:pStyle w:val="Normal"/>
        <w:spacing w:lineRule="auto" w:line="240" w:before="0" w:after="0"/>
        <w:contextualSpacing/>
        <w:jc w:val="center"/>
        <w:rPr>
          <w:rFonts w:ascii="Times New Roman" w:hAnsi="Times New Roman"/>
          <w:sz w:val="2"/>
        </w:rPr>
      </w:pPr>
      <w:r>
        <w:rPr>
          <w:rFonts w:ascii="Times New Roman" w:hAnsi="Times New Roman"/>
          <w:sz w:val="2"/>
        </w:rPr>
      </w:r>
    </w:p>
    <w:p>
      <w:pPr>
        <w:pStyle w:val="111"/>
        <w:tabs>
          <w:tab w:val="clear" w:pos="708"/>
          <w:tab w:val="left" w:pos="638" w:leader="underscore"/>
          <w:tab w:val="left" w:pos="10051" w:leader="underscore"/>
        </w:tabs>
        <w:spacing w:lineRule="auto" w:line="240" w:before="0" w:after="0"/>
        <w:ind w:hanging="0" w:left="0" w:right="0"/>
        <w:contextualSpacing/>
        <w:jc w:val="center"/>
        <w:rPr>
          <w:rFonts w:ascii="Times New Roman" w:hAnsi="Times New Roman"/>
        </w:rPr>
      </w:pPr>
      <w:r>
        <w:rPr>
          <w:rFonts w:ascii="Times New Roman" w:hAnsi="Times New Roman"/>
        </w:rPr>
        <w:drawing>
          <wp:inline distT="0" distB="0" distL="0" distR="0">
            <wp:extent cx="5180330" cy="4153535"/>
            <wp:effectExtent l="0" t="0" r="0" b="0"/>
            <wp:docPr id="1" name="Pictur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descr=""/>
                    <pic:cNvPicPr>
                      <a:picLocks noChangeAspect="1" noChangeArrowheads="1"/>
                    </pic:cNvPicPr>
                  </pic:nvPicPr>
                  <pic:blipFill>
                    <a:blip r:embed="rId3"/>
                    <a:stretch>
                      <a:fillRect/>
                    </a:stretch>
                  </pic:blipFill>
                  <pic:spPr bwMode="auto">
                    <a:xfrm>
                      <a:off x="0" y="0"/>
                      <a:ext cx="5180330" cy="4153535"/>
                    </a:xfrm>
                    <a:prstGeom prst="rect">
                      <a:avLst/>
                    </a:prstGeom>
                  </pic:spPr>
                </pic:pic>
              </a:graphicData>
            </a:graphic>
          </wp:inline>
        </w:drawing>
      </w:r>
    </w:p>
    <w:p>
      <w:pPr>
        <w:pStyle w:val="111"/>
        <w:tabs>
          <w:tab w:val="clear" w:pos="708"/>
          <w:tab w:val="left" w:pos="638" w:leader="underscore"/>
          <w:tab w:val="left" w:pos="10051" w:leader="underscore"/>
        </w:tabs>
        <w:spacing w:lineRule="auto" w:line="240" w:before="0" w:after="0"/>
        <w:ind w:hanging="0" w:left="0" w:right="0"/>
        <w:contextualSpacing/>
        <w:rPr>
          <w:rFonts w:ascii="Times New Roman" w:hAnsi="Times New Roman"/>
          <w:b/>
        </w:rPr>
      </w:pPr>
      <w:r>
        <w:rPr>
          <w:rFonts w:ascii="Times New Roman" w:hAnsi="Times New Roman"/>
          <w:b/>
        </w:rPr>
      </w:r>
    </w:p>
    <w:p>
      <w:pPr>
        <w:pStyle w:val="111"/>
        <w:tabs>
          <w:tab w:val="clear" w:pos="708"/>
          <w:tab w:val="left" w:pos="638" w:leader="underscore"/>
          <w:tab w:val="left" w:pos="10051" w:leader="underscore"/>
        </w:tabs>
        <w:spacing w:lineRule="auto" w:line="240" w:before="0" w:after="0"/>
        <w:ind w:firstLine="709" w:left="0" w:right="0"/>
        <w:contextualSpacing/>
        <w:rPr>
          <w:rFonts w:ascii="Times New Roman" w:hAnsi="Times New Roman"/>
        </w:rPr>
      </w:pPr>
      <w:r>
        <w:rPr>
          <w:rFonts w:ascii="Times New Roman" w:hAnsi="Times New Roman"/>
          <w:b/>
        </w:rPr>
        <w:t>Проведение КЕГЭ в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Вход участников экзамена в аудиторию</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Ответственный организатор при входе участников экзамена в аудиторию: </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сверяет данные документа, удостоверяющего личность участника экзамена, с данными в форме ППЭ-05-02-К. В случае расхождения персональных данных участника экзамена в документе, удостоверяющем личность, с данными в форме ППЭ-05-02-К ответственный организатор заполняет форму ППЭ 12-02; если расхождение персональных данных не является опечаткой (т.е. произошла смена фамилии, имени, документа, удостоверяющего личность), к форме ППЭ-12-02 прикладываются копии подтверждающих документов. При смене паспорта прикладывается копия страницы с данными ранее выданных паспортов. Для копирования подтверждающих документов можно направить участника экзамена в Штаб ППЭ (в сопровождении организатора вне аудитории) либо по желанию участника передать документы организатору вне аудитории для их копирования в Штабе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Выдача ЭМ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Не позднее 09:45 ответственный организатор в Штабе ППЭ принимает у руководителя ППЭ ЭМ: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КЕГЭ (на каждого участника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Черновики КЕГЭ выдаются участникам экзамена вместе с бланками регистрации, черновики выдаются только во время экзамена по запросу участников экзамена - в случае если им не хватит места для записей в черновике КЕГЭ (включая оборотные стороны его листов).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До начала экзамена организатор в аудитории проводит</w:t>
      </w:r>
      <w:r>
        <w:rPr>
          <w:rFonts w:ascii="Times New Roman" w:hAnsi="Times New Roman"/>
        </w:rPr>
        <w:t xml:space="preserve"> инструктаж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Инструктаж состоит из двух частей.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Первая часть инструктажа проводится с 9:50 по местному времени и включает в себя информирование участников экзамена о порядке проведения экзамена, об основаниях для удаления из ППЭ, о процедуре досрочного завершения экзамена по объективным причинам, правилах заполнения бланков, продолжительности экзамена, порядке и сроках подачи апелляций о нарушении Порядка и о несогласии с выставленными баллами, времени и месте ознакомления с результатами экзамена, а также о рекомендации соблюдать гигиенические требования при работе за компьютером. Также участники экзамена ознакамливаются с инструкцией по использованию ПО для сдачи КЕГЭ и с приложением к паспорту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Не ранее 10:00 по местному времени организатор в аудитории, ответственный за печать бланков регистрации информирует участников экзамена о том, что ЭМ были доставлены по сети «Интернет» в зашифрованном виде и о процедуре печати бланков регистрации в аудитории, вводит количество бланков регистрации для печати, равное количеству участников экзамена, фактически присутствующих</w:t>
      </w:r>
      <w:r>
        <w:rPr>
          <w:rStyle w:val="FootnoteReference"/>
          <w:rFonts w:ascii="Times New Roman" w:hAnsi="Times New Roman"/>
          <w:vertAlign w:val="superscript"/>
        </w:rPr>
        <w:footnoteReference w:id="8"/>
      </w:r>
      <w:r>
        <w:rPr>
          <w:rFonts w:ascii="Times New Roman" w:hAnsi="Times New Roman"/>
        </w:rPr>
        <w:t xml:space="preserve"> в данной аудитории, и запускает процедуру расшифровки бланков регистрации (процедура расшифровки может быть инициирована, если техническим специалистом ППЭ и членом ГЭК ранее был загружен и активирован ключ доступа к ЭМ), выполняет печать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в аудитории, ответственный за печать бланков регистрации, выполняет печать бланков регистрации, загруженных ранее на станцию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проверку качества бланков регистрации, проверяет качество печати бланка регистрации: отсутствие белых и темных полос, текст хорошо читаем и четко пропечатан, черные квадраты (реперы), штрихкоды, QR-код и знакоместа на бланках четко видны; по окончании проверки сообщает результат организатору, ответственному за печать, для подтверждения качества печати в программном обеспечении. Качественные бланки регистрации размещаются на столе для выдачи участникам экзамена, некачественные откладываются.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Напечатанные бланки регистрации раздаются участникам экзамена в аудитории в произвольном порядке. Вместе с бланками раздаются черновики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В случае сбоя в работе станции организатора</w:t>
      </w:r>
      <w:r>
        <w:rPr>
          <w:rFonts w:ascii="Times New Roman" w:hAnsi="Times New Roman"/>
        </w:rPr>
        <w:t xml:space="preserve"> член ГЭК или организатор в аудитории приглашают технического специалиста ППЭ для восстановления работоспособности оборудования и (или) системного ПО и (или) станции организатора. При необходимости станция организатора заменяется на резервную.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Далее начинается вторая часть инструктажа, при проведении которой: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расшифровку КИМ на станциях КЕГЭ, запускает процедуру расшифровки КИМ на каждой станции КЕГЭ нажатием на кнопку «Прочитать КИМ» (процедура расшифровки может быть инициирована, если техническим специалистом ППЭ и членом ГЭК ранее был загружен и активирован ключ доступа к ЭМ), по окончании расшифровки убеждается, что станция КЕГЭ перешла на страницу ввода номера бланка регистрации. Допустимо данное действие начать выполнять во время выдачи бланков регистрации другим организатором;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проведение инструктажа: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дает указание участникам экзамена проверить качество напечатанного бланка регистрации (действия в случае выявления брака бланка регистрации описаны ниже);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дает указание участникам экзамена приступить к заполнению бланков регистрации (в том числе участник должен поставить свою подпись в соответствующем поле регистрационных полей бланков);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дает указание участникам экзамена внести номер бланка регистрации в ПО для сдачи экзамена, ознакомиться с инструкцией и перейти на страницу регистрации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правильность заполнения: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регистрационных полей на бланке регистрации у каждого участника экзамена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бланка регистрации организаторы в аудитории дают указание участнику экзамена внести соответствующие исправления;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номера бланка регистрации, введенного участником экзамена в ПО для сдачи экзамена с бумажного бланка регистрации. В случае ошибочного заполнения организаторы в аудитории дают указание участнику экзамена внести соответствующие исправления в станции КЕГЭ для сдачи экзамена. В случае верного значения подтверждают корректность в ПО для сдачи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заполнения всеми участниками экзамена бланков регистрации и проверки правильности введенных номеров в ПО для сдачи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указывает участникам экзамена на необходимость записывать ответы на экзаменационные задания в соответствующих полях черновика КЕГЭ: в случае замены станции КЕГЭ на резервную во время экзамена потребуется заново ввести все ответы в новую станцию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обращает внимание участников экзамена на то, что на их рабочем месте находится приложение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объявляет и фиксирует на доске (информационном стенде) код активации экзамена, предварительно выданный руководителем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объявляет начало, продолжительность и время окончания выполнения ЭР и фиксирует их на доске (информационном стенде);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дает указание участникам экзамена ввести код активации экзамена в ПО для сдачи экзамена для начала выполнения ЭР.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проведения указанных процедур начинается процесс выполнения ЭР участниками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объявления начала экзамена и начала выполнения ЭР всеми участниками экзамена на станциях КЕГЭ организатор в аудитории сообщает организатору вне аудитории информацию о завершении печати бланков регистрации и успешном начале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Организаторы в аудитории осуществляют контроль выполнения ЭР участниками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В случае обнаружения участником экзамена брака бланка регистрации</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проверку качества распечатанных бланков регистрации, изымает некачественный бланк регистрации и приглашает члена ГЭК для выполнения дополнительной печати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печать бланков регистрации, средствами станции организатора бракует бланк регистрации и переходит к дополнительной печати бланка регистрации. Аналогичная замена производится в случае порчи бланка регистрации участником экзамена или опоздания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ответственный за печать бланков регистрации, приглашает члена ГЭК активировать процедуру дополнительной печати с помощью токена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В случае недостатка доступных для печати ЭМ</w:t>
      </w:r>
      <w:r>
        <w:rPr>
          <w:rFonts w:ascii="Times New Roman" w:hAnsi="Times New Roman"/>
        </w:rPr>
        <w:t xml:space="preserve"> (бланков регистрации) организатор информирует руководителя ППЭ и члена ГЭК (через организатора вне аудитории) о необходимости использования резервных ЭМ, включенных в состав интернет-пакета, загруженного для проведения экзамена, в этом случае технический специалист совместно с членом ГЭК в Штабе ППЭ в личном кабинете ППЭ запрашивают резервный ключ доступа для резервных ЭМ. Резервный ключ доступа к ЭМ загружается техническим специалистом на станцию организатора и активируется токеном члена ГЭК.</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После восстановления работоспособности принтера в следующем напечатанном бланке регистрации необходимо проконтролировать номера бланка, сравнив его с предыдущим. В случае обнаружения повторной печати задублированный бланк регистрации должен быть забракован (откладываются оба экземпляра).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u w:val="single"/>
        </w:rPr>
        <w:t>В случае возникновения технических сбоев в работе ПО «Станция КЕГЭ»</w:t>
      </w:r>
      <w:r>
        <w:rPr>
          <w:rFonts w:ascii="Times New Roman" w:hAnsi="Times New Roman"/>
        </w:rPr>
        <w:t xml:space="preserve"> организатор в аудитории (через организатора вне аудитории) приглашает технического специалиста ППЭ для восстановления работоспособности: оборудования, системного ПО, ПО «Станция КЕГЭ», стандартного ПО, предоставляемого участнику для выполнения заданий.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восстановления работоспособности станции КЕГЭ для продолжения экзамена необходимо участие члена ГЭК: член ГЭК с использованием токена активирует ранее загруженный ключ доступа к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запускает расшифровку КИМ командой «Прочитать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расшифровки убеждается, что станция КЕГЭ перешла на страницу ввода номера бланка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странице активации экзамена член ГЭК и организатор в аудитории проверяют, что номер бланка регистрации, отображаемый на экране компьютера (ноутбука), соответствует номеру в бумажном бланке регистрации, и предлагают участнику экзамена ввести код активации и нажать кнопку «Продолжить экзамен».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Экзамен продолжится, </w:t>
      </w:r>
      <w:r>
        <w:rPr>
          <w:rFonts w:ascii="Times New Roman" w:hAnsi="Times New Roman"/>
          <w:b/>
        </w:rPr>
        <w:t>время выполнения ЭР для участника КЕГЭ не увеличивается</w:t>
      </w:r>
      <w:r>
        <w:rPr>
          <w:rFonts w:ascii="Times New Roman" w:hAnsi="Times New Roman"/>
        </w:rPr>
        <w:t>, т.к. участник продолжает работу с тем же КИМ КЕГЭ. Время окончания экзамена соответствует тому, что указано на доске (информационном стенде).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При необходимости станция КЕГЭ заменяется на резервную. Выполнение ЭР участником экзамена осуществляется с </w:t>
      </w:r>
      <w:r>
        <w:rPr>
          <w:rFonts w:ascii="Times New Roman" w:hAnsi="Times New Roman"/>
          <w:b/>
          <w:u w:val="single"/>
        </w:rPr>
        <w:t>тем же бланком регистрации (следовательно, и с тем же КИМ КЕГЭ),</w:t>
      </w:r>
      <w:r>
        <w:rPr>
          <w:rFonts w:ascii="Times New Roman" w:hAnsi="Times New Roman"/>
          <w:b/>
        </w:rPr>
        <w:t xml:space="preserve"> </w:t>
      </w:r>
      <w:r>
        <w:rPr>
          <w:rFonts w:ascii="Times New Roman" w:hAnsi="Times New Roman"/>
        </w:rPr>
        <w:t>время экзамена для участника экзамена не продлевается. Член ГЭК и организатор в аудитории информируют участника экзамена о необходимости повторного ввода ответов на задания, которые были выполнены на вышедшей из строя станции КЕГЭ. Организатор в аудитории ставит соответствующую метку в поле «Замена станции КЕГЭ» в форме ППЭ-05-02-К. Вышедшая из строя станция КЕГЭ остаётся в аудитории в зоне видимости камер видеонаблюдения до окончания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выбору участника КЕГЭ возможно завершение ЭР досрочно по объективным причинам с возможностью повторного прохождения экзамена в резервные сроки соответствующего периода проведения экзаменов (участнику предоставляется новый КИМ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данном случае принимается решение, что участник экзамена не завершил экзамен по объективным причинам с оформлением соответствующего акта (форма ППЭ-22) и по решению председателя ГЭК допускается к экзамену по информатике в резервные сроки соответствующего периода.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Начало выполнения ЭР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Участники экзамена приступают к выполнению ЭР.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 время выполнения ЭР участниками экзамена организатор в аудитории не допускает: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переписывания участниками экзамена заданий КИМ в черновики КЕГЭ, черновики;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выноса из аудиторий инструкций по использованию ПО для сдачи КЕГЭ, приложений к паспорту станции КЕГЭ, черновиков КЕГЭ, черновиков, бланков регистрации, письменных принадлежностей, письменных заметок и иных средств хранения и передачи информации;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фотографирования ЭМ и черновиков КЕГЭ, черновиков участниками экзамена, а также организаторами или техническими специалистами.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Участникам КЕГЭ подробно разъясняются правила работы за компьютером (ноутбуком), в том числе необходимость периодически делать перерывы в работе непосредственно с монитором. Во время таких перерывов участники КЕГЭ могут продолжить работать над решением экзаменационных заданий, используя черновик КЕГЭ или черновики. Также участники КЕГЭ могут выполнять известные им упражнения для глаз.</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Рекомендуется первый такой перерыв сделать не позднее чем через полчаса после начала работы за компьютером (ноутбуком), далее через каждые 20 минут. Решение о времени начала и окончания перерыва участник КЕГЭ принимает самостоятельно.</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не должен препятствовать использованию участниками экзамена программы Microsoft Windows «Калькулятор», предназначенной для выполнения вычислительных операций, а также графического редактора Microsoft Paint.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если участник экзамена предъявил претензию по содержанию задания КИМ КЕГЭ, необходимо зафиксировать в свободной форме суть претензии в служебной записке и передать ее руководителю ППЭ (служебная записка должна содержать информацию об уникальном номере КИМ, номере задания и содержании замечания).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выходе участника экзамена из аудитории необходимо проверить оставленные им на рабочем столе бланк регистрации, черновики (если выдавались), приложение к паспорту станции КЕГЭ, комплектность черновика КЕГЭ и инструкции по использованию ПО для сдачи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Случаи удаления из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установлении факта наличия у участников экзамена средств связи и электронно-вычислительной техники, фото-, аудио- и видеоаппаратуры, справочных материалов, письменных заметок и иных средств хранения и передачи информации во время проведения ЕГЭ или иного нарушения ими Порядка такие участники удаляются с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этом случае ответственный организатор совместно с членом (членами) ГЭК, руководителем ППЭ должен: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заполнить форму ППЭ-21 в Штабе ППЭ в зоне видимости камер видеонаблюдения;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аудитории завершить экзамен на станции КЕГЭ, нажав кнопку «Завершить экзамен» и пройдя далее до получения на экране контрольной суммы (страница «Формирование протокола ответов участника КЕГЭ»). Дальнейшие действия выполнит технический специалист после завершения экзамена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в поле «Удален из ППЭ в связи с нарушением порядка проведения ГИА» соответствующую отметку и поставить свою подпись в соответствующем поле;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аудитории ППЭ внести соответствующую запись в форму ППЭ-05-02-К и переписать контрольную сумму с бланка регистрации в соответствующее поле.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Рекомендуется продемонстрировать на камеру видеонаблюдения средство связи и электронно-вычислительной техники, фото-, аудио- и видеоаппаратуры, справочные материалы, письменные заметки и иные средстве хранения и передачи информации, обнаруженные у участника экзамена. На камеру проговорить, какой именно предмет обнаружен и его содержание (в случае обнаружения письменных заметок).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случае если участник экзамена по состоянию здоровья или другим объективным причинам не может завершить выполнение ЭР, он может покинуть ППЭ. Ответственный организатор должен пригласить организатора вне аудитории, который сопроводит такого участника экзамена к медицинскому работнику и пригласит члена (членов) ГЭК в медицинский кабинет. В случае согласия участника экзамена досрочно завершить экзамен заполняется форма ППЭ-22 в медицинском кабинете членом ГЭК и медицинским работником. Ответственный организатор и руководитель ППЭ ставят свою подпись в указанном акте. Ответственный организатор должен:</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аудитории завершить экзамен на станции КЕГЭ, нажав кнопку «Завершить экзамен» и пройдя далее до получения на экране контрольной суммы окно «Формирование протокола ответов участника КЕГЭ»). Дальнейшие действия выполнит технический специалист после завершения экзамена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аудитории переписать в соответствующее поле бланка регистрации этого участника экзамена контрольную сумму, автоматически сформированную на станции КЕГЭ, поставить соответствующую отметку в поле «Не завершил экзамен по объективным причинам» и поставить свою подпись в соответствующем поле;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аудитории внести соответствующую запись в форму ППЭ-05-02-К, в том числе переписав контрольную сумму с бланка регистрации в соответствующее поле.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Завершение выполнения ЭР участниками экзамена и организация сбора ЭМ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Участник экзамена, завершивший выполнение ЭР, может покинуть ППЭ. Организатор в аудитории принимает у него бланк регистрации, проверяет, что на станции КЕГЭ участника экзамена отображается окно «Экзамен закончен», а также проверяет правильность переноса контрольной суммы и подтверждает</w:t>
      </w:r>
      <w:r>
        <w:rPr>
          <w:rFonts w:ascii="Times New Roman" w:hAnsi="Times New Roman"/>
          <w:spacing w:val="38"/>
        </w:rPr>
        <w:t xml:space="preserve"> </w:t>
      </w:r>
      <w:r>
        <w:rPr>
          <w:rFonts w:ascii="Times New Roman" w:hAnsi="Times New Roman"/>
        </w:rPr>
        <w:t>данное</w:t>
      </w:r>
      <w:r>
        <w:rPr>
          <w:rFonts w:ascii="Times New Roman" w:hAnsi="Times New Roman"/>
          <w:spacing w:val="30"/>
        </w:rPr>
        <w:t xml:space="preserve"> </w:t>
      </w:r>
      <w:r>
        <w:rPr>
          <w:rFonts w:ascii="Times New Roman" w:hAnsi="Times New Roman"/>
        </w:rPr>
        <w:t>действие своей</w:t>
      </w:r>
      <w:r>
        <w:rPr>
          <w:rFonts w:ascii="Times New Roman" w:hAnsi="Times New Roman"/>
          <w:spacing w:val="33"/>
        </w:rPr>
        <w:t xml:space="preserve"> </w:t>
      </w:r>
      <w:r>
        <w:rPr>
          <w:rFonts w:ascii="Times New Roman" w:hAnsi="Times New Roman"/>
        </w:rPr>
        <w:t>подписью</w:t>
      </w:r>
      <w:r>
        <w:rPr>
          <w:rFonts w:ascii="Times New Roman" w:hAnsi="Times New Roman"/>
          <w:spacing w:val="32"/>
        </w:rPr>
        <w:t xml:space="preserve"> </w:t>
      </w:r>
      <w:r>
        <w:rPr>
          <w:rFonts w:ascii="Times New Roman" w:hAnsi="Times New Roman"/>
        </w:rPr>
        <w:t>на</w:t>
      </w:r>
      <w:r>
        <w:rPr>
          <w:rFonts w:ascii="Times New Roman" w:hAnsi="Times New Roman"/>
          <w:spacing w:val="35"/>
        </w:rPr>
        <w:t xml:space="preserve"> </w:t>
      </w:r>
      <w:r>
        <w:rPr>
          <w:rFonts w:ascii="Times New Roman" w:hAnsi="Times New Roman"/>
        </w:rPr>
        <w:t>бланке</w:t>
      </w:r>
      <w:r>
        <w:rPr>
          <w:rFonts w:ascii="Times New Roman" w:hAnsi="Times New Roman"/>
          <w:spacing w:val="35"/>
        </w:rPr>
        <w:t xml:space="preserve"> </w:t>
      </w:r>
      <w:r>
        <w:rPr>
          <w:rFonts w:ascii="Times New Roman" w:hAnsi="Times New Roman"/>
        </w:rPr>
        <w:t>регистрации</w:t>
      </w:r>
      <w:r>
        <w:rPr>
          <w:rFonts w:ascii="Times New Roman" w:hAnsi="Times New Roman"/>
          <w:spacing w:val="37"/>
        </w:rPr>
        <w:t xml:space="preserve"> </w:t>
      </w:r>
      <w:r>
        <w:rPr>
          <w:rFonts w:ascii="Times New Roman" w:hAnsi="Times New Roman"/>
        </w:rPr>
        <w:t>участника</w:t>
      </w:r>
      <w:r>
        <w:rPr>
          <w:rFonts w:ascii="Times New Roman" w:hAnsi="Times New Roman"/>
          <w:spacing w:val="32"/>
        </w:rPr>
        <w:t xml:space="preserve"> </w:t>
      </w:r>
      <w:r>
        <w:rPr>
          <w:rFonts w:ascii="Times New Roman" w:hAnsi="Times New Roman"/>
        </w:rPr>
        <w:t>в</w:t>
      </w:r>
      <w:r>
        <w:rPr>
          <w:rFonts w:ascii="Times New Roman" w:hAnsi="Times New Roman"/>
          <w:spacing w:val="33"/>
        </w:rPr>
        <w:t xml:space="preserve"> </w:t>
      </w:r>
      <w:r>
        <w:rPr>
          <w:rFonts w:ascii="Times New Roman" w:hAnsi="Times New Roman"/>
        </w:rPr>
        <w:t>специально</w:t>
      </w:r>
      <w:r>
        <w:rPr>
          <w:rFonts w:ascii="Times New Roman" w:hAnsi="Times New Roman"/>
          <w:spacing w:val="33"/>
        </w:rPr>
        <w:t xml:space="preserve"> </w:t>
      </w:r>
      <w:r>
        <w:rPr>
          <w:rFonts w:ascii="Times New Roman" w:hAnsi="Times New Roman"/>
        </w:rPr>
        <w:t>отведённом</w:t>
      </w:r>
      <w:r>
        <w:rPr>
          <w:rFonts w:ascii="Times New Roman" w:hAnsi="Times New Roman"/>
          <w:spacing w:val="33"/>
        </w:rPr>
        <w:t xml:space="preserve"> </w:t>
      </w:r>
      <w:r>
        <w:rPr>
          <w:rFonts w:ascii="Times New Roman" w:hAnsi="Times New Roman"/>
        </w:rPr>
        <w:t>поле,</w:t>
      </w:r>
      <w:r>
        <w:rPr>
          <w:rFonts w:ascii="Times New Roman" w:hAnsi="Times New Roman"/>
          <w:spacing w:val="35"/>
        </w:rPr>
        <w:t xml:space="preserve"> </w:t>
      </w:r>
      <w:r>
        <w:rPr>
          <w:rFonts w:ascii="Times New Roman" w:hAnsi="Times New Roman"/>
        </w:rPr>
        <w:t>принимает черновик КЕГЭ и черновики (если выдавались), инструкцию по использованию ПО для сдачи КЕГЭ, приложение к паспорту станции КЕГЭ, переносит в форму ППЭ-05-02-К «Протокол проведения экзамена в аудитории» контрольную сумму, указанную участником экзамена в бланке регистрации, и получает его подпись в форме ППЭ-05-02-К.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 30 минут и за 5 минут до окончания выполнения ЭР сообщить участникам экзамена о скором завершении выполнения ЭР и напомнить о необходимости проверить полноту и правильность внесения ответов на задания ЭР в ПО для сдачи экзамена и по окончании экзамена внести контрольную сумму, автоматически сформированную на основе введенных участником экзамена ответов в систему, в бланк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 15 минут до окончания выполнения ЭР:</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пересчитать бланки регистрации в аудитории (испорченные и (или) имеющие полиграфические дефекты);</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неиспользованные черновики;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отметить в форме ППЭ-05-02-К факты неявки на экзамен участников экзамена, а также проверить отметки фактов (в случае если такие факты имели место) удаления из ППЭ, не завершения выполнения ЭР, ошибок в документах.</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По окончании выполнения ЭР участниками экзамена организатор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центре видимости камер видеонаблюдения объявляет, что выполнение ЭР окончено;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просит завершить экзамен на станции КЕГЭ, нажав на кнопку «Завершить экзамен»;</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просит ознакомиться с ответами, внесёнными на станцию КЕГЭ, и подтвердить ознакомление нажатием на кнопку «Принять»;</w:t>
      </w:r>
    </w:p>
    <w:p>
      <w:pPr>
        <w:pStyle w:val="111"/>
        <w:spacing w:lineRule="auto" w:line="240" w:before="0" w:after="0"/>
        <w:ind w:firstLine="720" w:left="0" w:right="0"/>
        <w:contextualSpacing/>
        <w:jc w:val="both"/>
        <w:rPr>
          <w:rFonts w:ascii="Times New Roman" w:hAnsi="Times New Roman"/>
        </w:rPr>
      </w:pPr>
      <w:r>
        <w:drawing>
          <wp:anchor behindDoc="0" distT="0" distB="0" distL="0" distR="0" simplePos="0" locked="0" layoutInCell="0" allowOverlap="1" relativeHeight="174">
            <wp:simplePos x="0" y="0"/>
            <wp:positionH relativeFrom="page">
              <wp:posOffset>2051050</wp:posOffset>
            </wp:positionH>
            <wp:positionV relativeFrom="paragraph">
              <wp:posOffset>471170</wp:posOffset>
            </wp:positionV>
            <wp:extent cx="3973830" cy="3017520"/>
            <wp:effectExtent l="0" t="0" r="0" b="0"/>
            <wp:wrapTopAndBottom/>
            <wp:docPr id="2" name="Pictur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descr=""/>
                    <pic:cNvPicPr>
                      <a:picLocks noChangeAspect="1" noChangeArrowheads="1"/>
                    </pic:cNvPicPr>
                  </pic:nvPicPr>
                  <pic:blipFill>
                    <a:blip r:embed="rId4"/>
                    <a:stretch>
                      <a:fillRect/>
                    </a:stretch>
                  </pic:blipFill>
                  <pic:spPr bwMode="auto">
                    <a:xfrm>
                      <a:off x="0" y="0"/>
                      <a:ext cx="3973830" cy="3017520"/>
                    </a:xfrm>
                    <a:prstGeom prst="rect">
                      <a:avLst/>
                    </a:prstGeom>
                  </pic:spPr>
                </pic:pic>
              </a:graphicData>
            </a:graphic>
          </wp:anchor>
        </w:drawing>
      </w:r>
      <w:r>
        <w:rPr>
          <w:rFonts w:ascii="Times New Roman" w:hAnsi="Times New Roman"/>
        </w:rPr>
        <w:t>просит ознакомиться со сформированным протоколом ответов участника КЕГЭ и перейти на страницу «Экзамен закончен»:</w:t>
      </w:r>
    </w:p>
    <w:p>
      <w:pPr>
        <w:pStyle w:val="Normal"/>
        <w:spacing w:lineRule="auto" w:line="240" w:before="0" w:after="0"/>
        <w:contextualSpacing/>
        <w:jc w:val="center"/>
        <w:rPr>
          <w:rFonts w:ascii="Times New Roman" w:hAnsi="Times New Roman"/>
          <w:sz w:val="2"/>
        </w:rPr>
      </w:pPr>
      <w:r>
        <w:rPr>
          <w:rFonts w:ascii="Times New Roman" w:hAnsi="Times New Roman"/>
          <w:sz w:val="2"/>
        </w:rPr>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просит перенести с экрана компьютера (ноутбука) в бланк регистрации контрольную сумму, автоматически сформированную на основе введенных участником экзамена ответов в систему;</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просит положить бланки регистрации и черновики на край стола;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собирает у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бланки регистрации, проверив наличие и правильность переноса контрольной суммы и удостоверив данное действие своей подписью на бланке регистрации участника в специально отведённом поле;</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(если выдавались);</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инструкции по использованию ПО для сдачи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приложения к паспорту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заполняет форму ППЭ-05-02-К, перенеся контрольную сумму из бланков регистрации и получив подписи у участников экзамена, предварительно дав им возможность убедиться в правильности переноса контрольной суммы из бланка регистрации в форму ППЭ-05-02-К.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После того, как последний участник экзамена покинул аудиторию, информирует руководителя ППЭ (через организатора вне аудитории) о завершении выполнения ЭР в аудитории и приступить к сканированию бланков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Перевод бланков регистрации участников в электронный вид</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обеспечения сканирования в аудитории бланков участников экзамена организатор, ответственный за сканирование: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станции организатора переходит на этап сканирования, подтверждая, что печать ЭМ не требуется и экзамен завершен;</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размещает на сканере комплект бланков регистрации участников экзамена и форм ППЭ, предназначенных для сканирования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ППЭ-05-02-К (форму не нужно подписывать у руководителя ППЭ и члена ГЭК перед сканированием), ППЭ-12-02 (при наличии), ППЭ-12-04-МАШ;</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вносит сведения о количестве комплектов участников, количестве неявившихся, не завершивших экзамен и удалённых из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запускает процедуру сканирования;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выявления особой ситуации в результате сканирования предпринимает рекомендованные действия по ее устранению или приглашает технического специалиста;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сканирования приглашает в аудиторию (через организатора вне аудитории) технического специалиста и члена ГЭК для экспорта отсканированных материалов и завершения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В случае необходимости повторной настройки станции организатора для тестового сканирования необходимо использовать калибровочный лист (тестовую страницу границ печати) станции организатора, напечатанный на данной станции организатора, полученный от руководителя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печати техническим специалистом протокола печати ЭМ в аудитории (форма ППЭ-23) и протокола проведения процедуры сканирования бланков в аудитории ППЭ (форма ППЭ-15) организаторы в аудитории подписывают его и передают в Штаб ППЭ вместе с остальными формами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завершения техническим специалистом ППЭ экзамена на станциях КЕГЭ, сохранения ответов участников экзамена и электронных журналов работы станций КЕГЭ на флеш-накопитель организаторы в аудитории:</w:t>
      </w:r>
    </w:p>
    <w:p>
      <w:pPr>
        <w:pStyle w:val="111"/>
        <w:spacing w:lineRule="auto" w:line="240" w:before="0" w:after="0"/>
        <w:ind w:firstLine="709" w:left="0" w:right="0"/>
        <w:contextualSpacing/>
        <w:jc w:val="both"/>
        <w:rPr>
          <w:rFonts w:ascii="Times New Roman" w:hAnsi="Times New Roman"/>
        </w:rPr>
      </w:pPr>
      <w:r>
        <w:rPr>
          <w:rFonts w:ascii="Times New Roman" w:hAnsi="Times New Roman"/>
        </w:rPr>
        <w:t>запечатывают бланки регистрации в ВДП;</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пересчитывают использованные черновики (в том числе черновики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запечатывают испорченные (бракованные) бланки регистрации (при наличии) в ВДП;</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заполняют необходимые формы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заполняют форму ППЭ-11 на всех ВДП.</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ВДП с бланками регистрации участников экзамена не запаковывается до того, пока не будет произведён экспорт отсканированных материалов либо до принятия решения о сканировании в Штабе ППЭ в случае возникновения нештатной ситуации, которую невозможно решить средствами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Оформление соответствующих форм, осуществление раскладки и последующей упаковки организаторами бланков регистрации, собранных у участников экзамена, осуществляется в специально выделенном в аудитории месте (столе), находящемся в зоне видимости камер видеонаблюдения.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Важно! </w:t>
      </w:r>
      <w:r>
        <w:rPr>
          <w:rFonts w:ascii="Times New Roman" w:hAnsi="Times New Roman"/>
        </w:rPr>
        <w:t>В ВДП упаковываются только бланки регистрации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 этом запрещается:</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использовать какие-либо иные пакеты (конверты и т.д.) вместо выданных ВДП; вкладывать вместе с бланками регистрации какие-либо другие материалы;</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скреплять бланки регистрации (скрепками, степлерами и т.п.);</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менять ориентацию бланков регистрации в ВДП (верх-низ, лицевая-оборотная сторона).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завершении сбора и упаковки бланков регистрации в аудитории ответственный организатор в центре видимости камеры видеонаблюдения объявляет об окончании экзамена. После проведения сбора бланков регистрации и подписания протокола о проведении экзамена в аудитории (форма ППЭ-05-02-К) ответственный организатор на камеру видеонаблюдения громко объявляет все данные протокола, в том числе наименование предмета, количество участников экзамена в данной аудитории и количество бланков регистрации (использованных и неиспользованных), а также время подписания протокола. Ответственный организатор также должен продемонстрировать на камеру видеонаблюдения запечатанный ВДП с бланками регистрации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завершении соответствующих процедур организаторы проходят в Штаб ППЭ с ЭМ и передают их руководителю ППЭ в присутствии члена ГЭК. Прием ЭМ должен проводиться за специально отведенным столом, находящимся в зоне видимости камер видеонаблюдения.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ЭМ, которые организаторы передают руководителю ППЭ:</w:t>
      </w:r>
    </w:p>
    <w:p>
      <w:pPr>
        <w:pStyle w:val="111"/>
        <w:spacing w:lineRule="auto" w:line="240" w:before="0" w:after="0"/>
        <w:ind w:firstLine="740" w:left="0" w:right="0"/>
        <w:contextualSpacing/>
        <w:rPr>
          <w:rFonts w:ascii="Times New Roman" w:hAnsi="Times New Roman"/>
        </w:rPr>
      </w:pPr>
      <w:r>
        <w:rPr>
          <w:rFonts w:ascii="Times New Roman" w:hAnsi="Times New Roman"/>
        </w:rPr>
        <w:t>запечатанный ВДП с бланками регистрации;</w:t>
      </w:r>
    </w:p>
    <w:p>
      <w:pPr>
        <w:pStyle w:val="111"/>
        <w:spacing w:lineRule="auto" w:line="240" w:before="0" w:after="0"/>
        <w:ind w:hanging="0" w:left="740" w:right="0"/>
        <w:contextualSpacing/>
        <w:rPr>
          <w:rFonts w:ascii="Times New Roman" w:hAnsi="Times New Roman"/>
        </w:rPr>
      </w:pPr>
      <w:r>
        <w:rPr>
          <w:rFonts w:ascii="Times New Roman" w:hAnsi="Times New Roman"/>
        </w:rPr>
        <w:t xml:space="preserve">калибровочный лист с каждой станции организатора, использованной в аудитории; запечатанный ВДП с испорченными (бракованными) бланками регистрации; использованные черновики, включая черновики КЕГЭ; </w:t>
      </w:r>
    </w:p>
    <w:p>
      <w:pPr>
        <w:pStyle w:val="111"/>
        <w:spacing w:lineRule="auto" w:line="240" w:before="0" w:after="0"/>
        <w:ind w:hanging="0" w:left="740" w:right="0"/>
        <w:contextualSpacing/>
        <w:rPr>
          <w:rFonts w:ascii="Times New Roman" w:hAnsi="Times New Roman"/>
        </w:rPr>
      </w:pPr>
      <w:r>
        <w:rPr>
          <w:rFonts w:ascii="Times New Roman" w:hAnsi="Times New Roman"/>
        </w:rPr>
        <w:t>неиспользованные черновики;</w:t>
      </w:r>
    </w:p>
    <w:p>
      <w:pPr>
        <w:pStyle w:val="111"/>
        <w:spacing w:lineRule="auto" w:line="240" w:before="0" w:after="0"/>
        <w:ind w:firstLine="740" w:left="0" w:right="0"/>
        <w:contextualSpacing/>
        <w:rPr>
          <w:rFonts w:ascii="Times New Roman" w:hAnsi="Times New Roman"/>
        </w:rPr>
      </w:pPr>
      <w:r>
        <w:rPr>
          <w:rFonts w:ascii="Times New Roman" w:hAnsi="Times New Roman"/>
        </w:rPr>
        <w:t>инструкции по использованию ПО для сдачи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приложения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ППЭ-05-02-К, ППЭ-12-02, ППЭ-12-04-МАШ;</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служебные записки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ППЭ-05-01 (2 экземпляра), ППЭ-23, ППЭ-15.</w:t>
      </w:r>
    </w:p>
    <w:p>
      <w:pPr>
        <w:pStyle w:val="111"/>
        <w:spacing w:lineRule="auto" w:line="240" w:before="0" w:after="0"/>
        <w:ind w:firstLine="740" w:left="0" w:right="0"/>
        <w:contextualSpacing/>
        <w:jc w:val="both"/>
        <w:rPr>
          <w:rFonts w:ascii="Times New Roman" w:hAnsi="Times New Roman"/>
        </w:rPr>
      </w:pPr>
      <w:bookmarkStart w:id="30" w:name="bookmark23"/>
      <w:r>
        <w:rPr>
          <w:rFonts w:ascii="Times New Roman" w:hAnsi="Times New Roman"/>
        </w:rPr>
        <w:t>Организаторы покидают ППЭ после передачи всех ЭМ руководителю ППЭ и с разрешения руководителя ППЭ.</w:t>
      </w:r>
      <w:bookmarkEnd w:id="30"/>
    </w:p>
    <w:p>
      <w:pPr>
        <w:pStyle w:val="Heading2"/>
        <w:numPr>
          <w:ilvl w:val="1"/>
          <w:numId w:val="6"/>
        </w:numPr>
        <w:spacing w:lineRule="auto" w:line="240" w:before="0" w:after="0"/>
        <w:ind w:firstLine="720" w:left="0" w:right="0"/>
        <w:contextualSpacing/>
        <w:rPr>
          <w:rFonts w:ascii="Times New Roman" w:hAnsi="Times New Roman"/>
        </w:rPr>
      </w:pPr>
      <w:bookmarkStart w:id="31" w:name="__RefHeading___8"/>
      <w:bookmarkStart w:id="32" w:name="bookmark25"/>
      <w:bookmarkStart w:id="33" w:name="bookmark24"/>
      <w:bookmarkEnd w:id="31"/>
      <w:r>
        <w:rPr>
          <w:rFonts w:ascii="Times New Roman" w:hAnsi="Times New Roman"/>
        </w:rPr>
        <w:t>Инструкция для участника экзамена, зачитываемая организатором в аудитории перед началом КЕГЭ</w:t>
      </w:r>
      <w:bookmarkEnd w:id="32"/>
      <w:bookmarkEnd w:id="33"/>
    </w:p>
    <w:p>
      <w:pPr>
        <w:pStyle w:val="111"/>
        <w:tabs>
          <w:tab w:val="clear" w:pos="708"/>
          <w:tab w:val="left" w:pos="10234" w:leader="underscore"/>
        </w:tabs>
        <w:spacing w:lineRule="auto" w:line="240" w:before="0" w:after="0"/>
        <w:ind w:hanging="0" w:left="0" w:right="0"/>
        <w:contextualSpacing/>
        <w:jc w:val="both"/>
        <w:rPr>
          <w:rFonts w:ascii="Times New Roman" w:hAnsi="Times New Roman"/>
        </w:rPr>
      </w:pPr>
      <w:r>
        <w:rPr>
          <w:rFonts w:ascii="Times New Roman" w:hAnsi="Times New Roman"/>
        </w:rPr>
        <w:t xml:space="preserve">Текст, который выделен </w:t>
      </w:r>
      <w:r>
        <w:rPr>
          <w:rFonts w:ascii="Times New Roman" w:hAnsi="Times New Roman"/>
          <w:b/>
        </w:rPr>
        <w:t>жирным шрифтом</w:t>
      </w:r>
      <w:r>
        <w:rPr>
          <w:rFonts w:ascii="Times New Roman" w:hAnsi="Times New Roman"/>
        </w:rPr>
        <w:t>, читается участникам КЕГЭ</w:t>
      </w:r>
      <w:r>
        <w:rPr>
          <w:rStyle w:val="FootnoteReference"/>
          <w:rFonts w:ascii="Times New Roman" w:hAnsi="Times New Roman"/>
        </w:rPr>
        <w:footnoteReference w:id="9"/>
      </w:r>
      <w:r>
        <w:rPr>
          <w:rFonts w:ascii="Times New Roman" w:hAnsi="Times New Roman"/>
        </w:rPr>
        <w:t xml:space="preserve"> </w:t>
      </w:r>
      <w:r>
        <w:rPr>
          <w:rFonts w:ascii="Times New Roman" w:hAnsi="Times New Roman"/>
          <w:u w:val="single"/>
        </w:rPr>
        <w:t>слово в слово</w:t>
      </w:r>
      <w:r>
        <w:rPr>
          <w:rFonts w:ascii="Times New Roman" w:hAnsi="Times New Roman"/>
        </w:rPr>
        <w:t xml:space="preserve">. Это делается для стандартизации процедуры проведения экзаменов. </w:t>
      </w:r>
      <w:r>
        <w:rPr>
          <w:rFonts w:ascii="Times New Roman" w:hAnsi="Times New Roman"/>
          <w:i/>
        </w:rPr>
        <w:t>Комментарии, отмеченные курсивом, не читаются участникам экзамена. Они даны в помощь организатору.</w:t>
      </w:r>
      <w:r>
        <w:rPr>
          <w:rFonts w:ascii="Times New Roman" w:hAnsi="Times New Roman"/>
        </w:rPr>
        <w:t xml:space="preserve"> Инструктаж и экзамен проводятся в спокойной и </w:t>
      </w:r>
      <w:r>
        <w:rPr>
          <w:rFonts w:ascii="Times New Roman" w:hAnsi="Times New Roman"/>
          <w:u w:val="single"/>
        </w:rPr>
        <w:t>доброжелательной обстановке.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Подготовительные мероприятия: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Оформить на доске (информационном стенде) в аудитории проведения КЕГЭ образец регистрационных полей бланка регистрации участника экзамена, указав код региона, код ППЭ, номер аудитории, который следует писать, начиная с первой позиции, прописывая предшествующие нули, в случае если номер аудитории составляет менее 4-х знаков, код предмета и его название, дату проведения экзамена. Также рекомендуется подготовить на доске (информационном стенде) список кодов образовательных организаций в соответствии с формой ППЭ-16. Код региона, код ППЭ, код предмета и его название, дата проведения экзамена в бланке регистрации будут заполнены автоматически.</w:t>
      </w:r>
    </w:p>
    <w:p>
      <w:pPr>
        <w:pStyle w:val="111"/>
        <w:spacing w:lineRule="auto" w:line="240" w:before="0" w:after="0"/>
        <w:ind w:firstLine="800" w:left="0" w:right="0"/>
        <w:contextualSpacing/>
        <w:jc w:val="both"/>
        <w:rPr>
          <w:rFonts w:ascii="Times New Roman" w:hAnsi="Times New Roman"/>
        </w:rPr>
      </w:pPr>
      <w:r>
        <w:rPr>
          <w:rFonts w:ascii="Times New Roman" w:hAnsi="Times New Roman"/>
          <w:i/>
        </w:rPr>
        <w:t>Код образовательной организации в бланке регистрации заполняется участником экзамена в соответствии с информацией из формы ППЭ-16, предоставленной организатором в аудитории. Самостоятельно участники экзамена заполняют класс, а также ФИО, данные паспорта, используя свои данные из документа, удостоверяющего личность.</w:t>
      </w:r>
    </w:p>
    <w:p>
      <w:pPr>
        <w:pStyle w:val="111"/>
        <w:spacing w:lineRule="auto" w:line="240" w:before="0" w:after="0"/>
        <w:ind w:firstLine="800" w:left="0" w:right="0"/>
        <w:contextualSpacing/>
        <w:jc w:val="both"/>
        <w:rPr>
          <w:rFonts w:ascii="Times New Roman" w:hAnsi="Times New Roman"/>
          <w:i/>
          <w:i/>
        </w:rPr>
      </w:pPr>
      <w:r>
        <w:rPr>
          <w:rFonts w:ascii="Times New Roman" w:hAnsi="Times New Roman"/>
          <w:i/>
        </w:rPr>
      </w:r>
    </w:p>
    <w:p>
      <w:pPr>
        <w:pStyle w:val="111"/>
        <w:spacing w:lineRule="auto" w:line="240" w:before="0" w:after="0"/>
        <w:ind w:hanging="0" w:left="0" w:right="0"/>
        <w:contextualSpacing/>
        <w:jc w:val="center"/>
        <w:rPr>
          <w:rFonts w:ascii="Times New Roman" w:hAnsi="Times New Roman"/>
        </w:rPr>
      </w:pPr>
      <w:r>
        <w:rPr>
          <w:rFonts w:ascii="Times New Roman" w:hAnsi="Times New Roman"/>
        </w:rPr>
        <w:drawing>
          <wp:inline distT="0" distB="0" distL="0" distR="0">
            <wp:extent cx="6544310" cy="3023870"/>
            <wp:effectExtent l="0" t="0" r="0" b="0"/>
            <wp:docPr id="3" name="Pictur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descr=""/>
                    <pic:cNvPicPr>
                      <a:picLocks noChangeAspect="1" noChangeArrowheads="1"/>
                    </pic:cNvPicPr>
                  </pic:nvPicPr>
                  <pic:blipFill>
                    <a:blip r:embed="rId5"/>
                    <a:stretch>
                      <a:fillRect/>
                    </a:stretch>
                  </pic:blipFill>
                  <pic:spPr bwMode="auto">
                    <a:xfrm>
                      <a:off x="0" y="0"/>
                      <a:ext cx="6544310" cy="3023870"/>
                    </a:xfrm>
                    <a:prstGeom prst="rect">
                      <a:avLst/>
                    </a:prstGeom>
                  </pic:spPr>
                </pic:pic>
              </a:graphicData>
            </a:graphic>
          </wp:inline>
        </w:drawing>
      </w:r>
    </w:p>
    <w:p>
      <w:pPr>
        <w:pStyle w:val="Normal"/>
        <w:spacing w:lineRule="auto" w:line="240" w:before="0" w:after="0"/>
        <w:contextualSpacing/>
        <w:rPr>
          <w:rFonts w:ascii="Times New Roman" w:hAnsi="Times New Roman"/>
          <w:sz w:val="19"/>
        </w:rPr>
      </w:pPr>
      <w:r>
        <w:rPr>
          <w:rFonts w:ascii="Times New Roman" w:hAnsi="Times New Roman"/>
          <w:sz w:val="19"/>
        </w:rPr>
      </w:r>
    </w:p>
    <w:p>
      <w:pPr>
        <w:pStyle w:val="111"/>
        <w:spacing w:lineRule="auto" w:line="240" w:before="0" w:after="0"/>
        <w:ind w:firstLine="800" w:left="0" w:right="0"/>
        <w:contextualSpacing/>
        <w:rPr>
          <w:rFonts w:ascii="Times New Roman" w:hAnsi="Times New Roman"/>
        </w:rPr>
      </w:pPr>
      <w:r>
        <w:rPr>
          <w:rFonts w:ascii="Times New Roman" w:hAnsi="Times New Roman"/>
          <w:i/>
        </w:rPr>
        <w:t>Во время экзамена на рабочем столе участника экзамена, помимо экзаменационных материалов, могут находиться:</w:t>
      </w:r>
    </w:p>
    <w:p>
      <w:pPr>
        <w:pStyle w:val="111"/>
        <w:spacing w:lineRule="auto" w:line="240" w:before="0" w:after="0"/>
        <w:ind w:firstLine="800" w:left="0" w:right="0"/>
        <w:contextualSpacing/>
        <w:rPr>
          <w:rFonts w:ascii="Times New Roman" w:hAnsi="Times New Roman"/>
        </w:rPr>
      </w:pPr>
      <w:r>
        <w:rPr>
          <w:rFonts w:ascii="Times New Roman" w:hAnsi="Times New Roman"/>
          <w:i/>
        </w:rPr>
        <w:t>гелевая или капиллярная ручка с чернилами черного цвета;</w:t>
      </w:r>
    </w:p>
    <w:p>
      <w:pPr>
        <w:pStyle w:val="111"/>
        <w:spacing w:lineRule="auto" w:line="240" w:before="0" w:after="0"/>
        <w:ind w:firstLine="800" w:left="0" w:right="0"/>
        <w:contextualSpacing/>
        <w:rPr>
          <w:rFonts w:ascii="Times New Roman" w:hAnsi="Times New Roman"/>
        </w:rPr>
      </w:pPr>
      <w:r>
        <w:rPr>
          <w:rFonts w:ascii="Times New Roman" w:hAnsi="Times New Roman"/>
          <w:i/>
        </w:rPr>
        <w:t>документ, удостоверяющий личность;</w:t>
      </w:r>
    </w:p>
    <w:p>
      <w:pPr>
        <w:pStyle w:val="111"/>
        <w:spacing w:lineRule="auto" w:line="240" w:before="0" w:after="0"/>
        <w:ind w:firstLine="800" w:left="0" w:right="0"/>
        <w:contextualSpacing/>
        <w:rPr>
          <w:rFonts w:ascii="Times New Roman" w:hAnsi="Times New Roman"/>
        </w:rPr>
      </w:pPr>
      <w:r>
        <w:rPr>
          <w:rFonts w:ascii="Times New Roman" w:hAnsi="Times New Roman"/>
          <w:i/>
        </w:rPr>
        <w:t>лекарства (при необходимости);</w:t>
      </w:r>
    </w:p>
    <w:p>
      <w:pPr>
        <w:pStyle w:val="111"/>
        <w:spacing w:lineRule="auto" w:line="240" w:before="0" w:after="0"/>
        <w:ind w:firstLine="800" w:left="0" w:right="0"/>
        <w:contextualSpacing/>
        <w:rPr>
          <w:rFonts w:ascii="Times New Roman" w:hAnsi="Times New Roman"/>
        </w:rPr>
      </w:pPr>
      <w:r>
        <w:rPr>
          <w:rFonts w:ascii="Times New Roman" w:hAnsi="Times New Roman"/>
          <w:i/>
        </w:rPr>
        <w:t>продукты питания для дополнительного приема пищи (шоколад),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экзаменационной работы (при необходимости);</w:t>
      </w:r>
    </w:p>
    <w:p>
      <w:pPr>
        <w:pStyle w:val="111"/>
        <w:spacing w:lineRule="auto" w:line="240" w:before="0" w:after="0"/>
        <w:ind w:firstLine="800" w:left="0" w:right="0"/>
        <w:contextualSpacing/>
        <w:rPr>
          <w:rFonts w:ascii="Times New Roman" w:hAnsi="Times New Roman"/>
        </w:rPr>
      </w:pPr>
      <w:r>
        <w:rPr>
          <w:rFonts w:ascii="Times New Roman" w:hAnsi="Times New Roman"/>
          <w:i/>
        </w:rPr>
        <w:t>специальные технические средства (для лиц с ограниченными возможностями здоровья, детей-инвалидов и инвалидов);</w:t>
      </w:r>
    </w:p>
    <w:p>
      <w:pPr>
        <w:pStyle w:val="111"/>
        <w:spacing w:lineRule="auto" w:line="240" w:before="0" w:after="0"/>
        <w:ind w:hanging="0" w:left="800" w:right="0"/>
        <w:contextualSpacing/>
        <w:rPr>
          <w:rFonts w:ascii="Times New Roman" w:hAnsi="Times New Roman"/>
        </w:rPr>
      </w:pPr>
      <w:r>
        <w:rPr>
          <w:rFonts w:ascii="Times New Roman" w:hAnsi="Times New Roman"/>
          <w:i/>
        </w:rPr>
        <w:t>инструкция для участников КЕГЭ по использованию ПО для сдачи КЕГЭ; приложение к паспорту станции КЕГЭ;</w:t>
      </w:r>
    </w:p>
    <w:p>
      <w:pPr>
        <w:pStyle w:val="111"/>
        <w:spacing w:lineRule="auto" w:line="240" w:before="0" w:after="0"/>
        <w:ind w:firstLine="800" w:left="0" w:right="0"/>
        <w:contextualSpacing/>
        <w:rPr>
          <w:rFonts w:ascii="Times New Roman" w:hAnsi="Times New Roman"/>
        </w:rPr>
      </w:pPr>
      <w:r>
        <w:rPr>
          <w:rFonts w:ascii="Times New Roman" w:hAnsi="Times New Roman"/>
          <w:i/>
        </w:rPr>
        <w:t>черновик участника КЕГЭ выданные в ППЭ;</w:t>
      </w:r>
    </w:p>
    <w:p>
      <w:pPr>
        <w:pStyle w:val="111"/>
        <w:spacing w:lineRule="auto" w:line="240" w:before="0" w:after="0"/>
        <w:ind w:firstLine="800" w:left="0" w:right="0"/>
        <w:contextualSpacing/>
        <w:rPr>
          <w:rFonts w:ascii="Times New Roman" w:hAnsi="Times New Roman"/>
        </w:rPr>
      </w:pPr>
      <w:r>
        <w:rPr>
          <w:rFonts w:ascii="Times New Roman" w:hAnsi="Times New Roman"/>
          <w:i/>
        </w:rPr>
        <w:t>черновики (выдаются по запросу участника, если недостаточно черновика КЕГЭ).</w:t>
      </w:r>
    </w:p>
    <w:p>
      <w:pPr>
        <w:pStyle w:val="111"/>
        <w:spacing w:lineRule="auto" w:line="240" w:before="0" w:after="0"/>
        <w:ind w:firstLine="800" w:left="0" w:right="0"/>
        <w:contextualSpacing/>
        <w:rPr>
          <w:rFonts w:ascii="Times New Roman" w:hAnsi="Times New Roman"/>
        </w:rPr>
      </w:pPr>
      <w:r>
        <w:rPr>
          <w:rFonts w:ascii="Times New Roman" w:hAnsi="Times New Roman"/>
          <w:i/>
        </w:rPr>
        <w:t>Инструкция состоит из двух частей, первая из которых зачитывается участникам экзамена после их рассадки в аудитории, а вторая - после получения ими экзаменационных</w:t>
      </w:r>
    </w:p>
    <w:p>
      <w:pPr>
        <w:pStyle w:val="15"/>
        <w:spacing w:lineRule="auto" w:line="240" w:before="0" w:after="0"/>
        <w:ind w:hanging="0" w:left="72" w:right="0"/>
        <w:contextualSpacing/>
        <w:rPr>
          <w:rFonts w:ascii="Times New Roman" w:hAnsi="Times New Roman"/>
        </w:rPr>
      </w:pPr>
      <w:r>
        <w:rPr>
          <w:rFonts w:ascii="Times New Roman" w:hAnsi="Times New Roman"/>
          <w:b w:val="false"/>
          <w:i/>
          <w:sz w:val="26"/>
        </w:rPr>
        <w:t>материалов.</w:t>
      </w:r>
    </w:p>
    <w:p>
      <w:pPr>
        <w:pStyle w:val="15"/>
        <w:spacing w:lineRule="auto" w:line="240" w:before="0" w:after="0"/>
        <w:contextualSpacing/>
        <w:jc w:val="center"/>
        <w:rPr>
          <w:rFonts w:ascii="Times New Roman" w:hAnsi="Times New Roman"/>
        </w:rPr>
      </w:pPr>
      <w:r>
        <w:rPr>
          <w:rFonts w:ascii="Times New Roman" w:hAnsi="Times New Roman"/>
          <w:sz w:val="26"/>
        </w:rPr>
        <w:t>Кодировка учебного предмета</w:t>
      </w:r>
    </w:p>
    <w:tbl>
      <w:tblPr>
        <w:tblStyle w:val="Style_9"/>
        <w:tblW w:w="10377" w:type="dxa"/>
        <w:jc w:val="left"/>
        <w:tblInd w:w="0" w:type="dxa"/>
        <w:tblLayout w:type="fixed"/>
        <w:tblCellMar>
          <w:top w:w="0" w:type="dxa"/>
          <w:left w:w="10" w:type="dxa"/>
          <w:bottom w:w="0" w:type="dxa"/>
          <w:right w:w="10" w:type="dxa"/>
        </w:tblCellMar>
      </w:tblPr>
      <w:tblGrid>
        <w:gridCol w:w="6693"/>
        <w:gridCol w:w="3683"/>
      </w:tblGrid>
      <w:tr>
        <w:trPr>
          <w:trHeight w:val="322" w:hRule="exact"/>
        </w:trPr>
        <w:tc>
          <w:tcPr>
            <w:tcW w:w="6693" w:type="dxa"/>
            <w:tcBorders>
              <w:top w:val="single" w:sz="4" w:space="0" w:color="000000"/>
              <w:left w:val="single" w:sz="4" w:space="0" w:color="000000"/>
            </w:tcBorders>
            <w:shd w:fill="D9D9D9" w:val="clear"/>
            <w:vAlign w:val="bottom"/>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Cs w:val="20"/>
              </w:rPr>
              <w:t>Название предмета</w:t>
            </w:r>
          </w:p>
        </w:tc>
        <w:tc>
          <w:tcPr>
            <w:tcW w:w="3683" w:type="dxa"/>
            <w:tcBorders>
              <w:top w:val="single" w:sz="4" w:space="0" w:color="000000"/>
              <w:left w:val="single" w:sz="4" w:space="0" w:color="000000"/>
              <w:right w:val="single" w:sz="4" w:space="0" w:color="000000"/>
            </w:tcBorders>
            <w:shd w:fill="D9D9D9" w:val="clear"/>
            <w:vAlign w:val="bottom"/>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Cs w:val="20"/>
              </w:rPr>
              <w:t>Код предмета</w:t>
            </w:r>
          </w:p>
        </w:tc>
      </w:tr>
      <w:tr>
        <w:trPr>
          <w:trHeight w:val="324" w:hRule="exact"/>
        </w:trPr>
        <w:tc>
          <w:tcPr>
            <w:tcW w:w="6693" w:type="dxa"/>
            <w:tcBorders>
              <w:top w:val="single" w:sz="4" w:space="0" w:color="000000"/>
              <w:left w:val="single" w:sz="4" w:space="0" w:color="000000"/>
              <w:bottom w:val="single" w:sz="4" w:space="0" w:color="000000"/>
            </w:tcBorders>
            <w:shd w:fill="FFFFFF" w:val="clear"/>
            <w:vAlign w:val="bottom"/>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Cs w:val="20"/>
              </w:rPr>
              <w:t>Информатика</w:t>
            </w:r>
          </w:p>
        </w:tc>
        <w:tc>
          <w:tcPr>
            <w:tcW w:w="3683"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Cs w:val="20"/>
              </w:rPr>
              <w:t>25</w:t>
            </w:r>
          </w:p>
        </w:tc>
      </w:tr>
    </w:tbl>
    <w:p>
      <w:pPr>
        <w:pStyle w:val="15"/>
        <w:spacing w:lineRule="auto" w:line="240" w:before="0" w:after="0"/>
        <w:ind w:hanging="0" w:left="797" w:right="0"/>
        <w:contextualSpacing/>
        <w:rPr>
          <w:rFonts w:ascii="Times New Roman" w:hAnsi="Times New Roman"/>
          <w:sz w:val="26"/>
        </w:rPr>
      </w:pPr>
      <w:r>
        <w:rPr>
          <w:rFonts w:ascii="Times New Roman" w:hAnsi="Times New Roman"/>
          <w:sz w:val="26"/>
        </w:rPr>
      </w:r>
    </w:p>
    <w:p>
      <w:pPr>
        <w:pStyle w:val="15"/>
        <w:spacing w:lineRule="auto" w:line="240" w:before="0" w:after="0"/>
        <w:contextualSpacing/>
        <w:jc w:val="center"/>
        <w:rPr>
          <w:rFonts w:ascii="Times New Roman" w:hAnsi="Times New Roman"/>
        </w:rPr>
      </w:pPr>
      <w:r>
        <w:rPr>
          <w:rFonts w:ascii="Times New Roman" w:hAnsi="Times New Roman"/>
          <w:sz w:val="26"/>
        </w:rPr>
        <w:t>Продолжительность выполнения ЭР</w:t>
      </w:r>
    </w:p>
    <w:tbl>
      <w:tblPr>
        <w:tblStyle w:val="Style_9"/>
        <w:tblW w:w="10377" w:type="dxa"/>
        <w:jc w:val="left"/>
        <w:tblInd w:w="0" w:type="dxa"/>
        <w:tblLayout w:type="fixed"/>
        <w:tblCellMar>
          <w:top w:w="0" w:type="dxa"/>
          <w:left w:w="10" w:type="dxa"/>
          <w:bottom w:w="0" w:type="dxa"/>
          <w:right w:w="10" w:type="dxa"/>
        </w:tblCellMar>
      </w:tblPr>
      <w:tblGrid>
        <w:gridCol w:w="3459"/>
        <w:gridCol w:w="3459"/>
        <w:gridCol w:w="3459"/>
      </w:tblGrid>
      <w:tr>
        <w:trPr>
          <w:tblHeader w:val="true"/>
          <w:trHeight w:val="1810" w:hRule="exact"/>
        </w:trPr>
        <w:tc>
          <w:tcPr>
            <w:tcW w:w="3459" w:type="dxa"/>
            <w:tcBorders>
              <w:top w:val="single" w:sz="4" w:space="0" w:color="000000"/>
              <w:left w:val="single" w:sz="4" w:space="0" w:color="000000"/>
            </w:tcBorders>
            <w:shd w:fill="D9D9D9"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Cs w:val="20"/>
              </w:rPr>
              <w:t>Продолжительность выполнения ЭР</w:t>
            </w:r>
          </w:p>
        </w:tc>
        <w:tc>
          <w:tcPr>
            <w:tcW w:w="3459" w:type="dxa"/>
            <w:tcBorders>
              <w:top w:val="single" w:sz="4" w:space="0" w:color="000000"/>
              <w:left w:val="single" w:sz="4" w:space="0" w:color="000000"/>
            </w:tcBorders>
            <w:shd w:fill="D9D9D9"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Cs w:val="20"/>
              </w:rPr>
              <w:t>Продолжительность выполнения ЭР лицами с ОВЗ, детьми-инвалидами и инвалидами</w:t>
            </w:r>
          </w:p>
        </w:tc>
        <w:tc>
          <w:tcPr>
            <w:tcW w:w="3459" w:type="dxa"/>
            <w:tcBorders>
              <w:top w:val="single" w:sz="4" w:space="0" w:color="000000"/>
              <w:left w:val="single" w:sz="4" w:space="0" w:color="000000"/>
              <w:right w:val="single" w:sz="4" w:space="0" w:color="000000"/>
            </w:tcBorders>
            <w:shd w:fill="D9D9D9"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Cs w:val="20"/>
              </w:rPr>
              <w:t>Название учебного предмета</w:t>
            </w:r>
          </w:p>
        </w:tc>
      </w:tr>
      <w:tr>
        <w:trPr>
          <w:tblHeader w:val="true"/>
          <w:trHeight w:val="754" w:hRule="exact"/>
        </w:trPr>
        <w:tc>
          <w:tcPr>
            <w:tcW w:w="3459" w:type="dxa"/>
            <w:tcBorders>
              <w:top w:val="single" w:sz="4" w:space="0" w:color="000000"/>
              <w:left w:val="single" w:sz="4" w:space="0" w:color="000000"/>
              <w:bottom w:val="single" w:sz="4" w:space="0" w:color="000000"/>
            </w:tcBorders>
            <w:shd w:fill="FFFFFF"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Cs w:val="20"/>
              </w:rPr>
              <w:t>3 часа 55 минут (235 минут)</w:t>
            </w:r>
          </w:p>
        </w:tc>
        <w:tc>
          <w:tcPr>
            <w:tcW w:w="3459" w:type="dxa"/>
            <w:tcBorders>
              <w:top w:val="single" w:sz="4" w:space="0" w:color="000000"/>
              <w:left w:val="single" w:sz="4" w:space="0" w:color="000000"/>
              <w:bottom w:val="single" w:sz="4" w:space="0" w:color="000000"/>
            </w:tcBorders>
            <w:shd w:fill="FFFFFF"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Cs w:val="20"/>
              </w:rPr>
              <w:t>5 часов 25 минут</w:t>
            </w:r>
          </w:p>
        </w:tc>
        <w:tc>
          <w:tcPr>
            <w:tcW w:w="3459" w:type="dxa"/>
            <w:tcBorders>
              <w:top w:val="single" w:sz="4" w:space="0" w:color="000000"/>
              <w:left w:val="single" w:sz="4" w:space="0" w:color="000000"/>
              <w:bottom w:val="single" w:sz="4" w:space="0" w:color="000000"/>
              <w:right w:val="single" w:sz="4" w:space="0" w:color="000000"/>
            </w:tcBorders>
            <w:shd w:fill="FFFFFF" w:val="clear"/>
            <w:vAlign w:val="center"/>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Cs w:val="20"/>
              </w:rPr>
              <w:t>Информатика</w:t>
            </w:r>
          </w:p>
        </w:tc>
      </w:tr>
    </w:tbl>
    <w:p>
      <w:pPr>
        <w:pStyle w:val="Normal"/>
        <w:spacing w:lineRule="auto" w:line="240" w:before="0" w:after="0"/>
        <w:contextualSpacing/>
        <w:rPr>
          <w:rFonts w:ascii="Times New Roman" w:hAnsi="Times New Roman"/>
        </w:rPr>
      </w:pPr>
      <w:r>
        <w:rPr>
          <w:rFonts w:ascii="Times New Roman" w:hAnsi="Times New Roman"/>
        </w:rPr>
      </w:r>
    </w:p>
    <w:p>
      <w:pPr>
        <w:pStyle w:val="111"/>
        <w:spacing w:lineRule="auto" w:line="240" w:before="0" w:after="0"/>
        <w:ind w:hanging="0" w:left="0" w:right="0"/>
        <w:contextualSpacing/>
        <w:jc w:val="center"/>
        <w:rPr>
          <w:rFonts w:ascii="Times New Roman" w:hAnsi="Times New Roman"/>
        </w:rPr>
      </w:pPr>
      <w:r>
        <w:rPr>
          <w:rFonts w:ascii="Times New Roman" w:hAnsi="Times New Roman"/>
          <w:b/>
        </w:rPr>
        <w:t>Инструкция для участников экзамена</w:t>
      </w:r>
    </w:p>
    <w:p>
      <w:pPr>
        <w:pStyle w:val="111"/>
        <w:spacing w:lineRule="auto" w:line="240" w:before="0" w:after="0"/>
        <w:ind w:firstLine="800" w:left="0" w:right="0"/>
        <w:contextualSpacing/>
        <w:jc w:val="both"/>
        <w:rPr>
          <w:rFonts w:ascii="Times New Roman" w:hAnsi="Times New Roman"/>
        </w:rPr>
      </w:pPr>
      <w:r>
        <w:rPr>
          <w:rFonts w:ascii="Times New Roman" w:hAnsi="Times New Roman"/>
          <w:i/>
        </w:rPr>
        <w:t>Первая часть инструктажа (начало проведения с 9:50 по местному времени):</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Уважаемые участники экзамена! Сегодня вы сдаете экзамен по информатике в компьютерной форме.</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ЕГЭ - лишь одно из жизненных испытаний, которое вам предстоит пройти. Будьте уверены: каждому, кто учился в школе, по силам сдать ЕГЭ. Все задания составлены на основе школьной программы, поэтому каждый из вас может успешно сдать экзамен.</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Вместе с тем напоминаем, что в целях предупреждения нарушений порядка проведения ЕГЭ в аудиториях ППЭ ведется видеонаблюдение.</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Во время проведения экзамена вам необходимо соблюдать порядок проведения экзаменов.</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 день проведения экзамена в ППЭ запрещается:</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выполнять экзаменационную работу несамостоятельно, в том числе с помощью посторонних лиц;</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общаться с другими участниками экзаменов во время проведения экзамена в аудитории;</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иметь при себе средства связи, фото-, аудио- и видеоаппаратуру, электронно-вычислительную технику, справочные материалы, письменные заметки и иные средства хранения и передачи информации;</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иметь при себе уведомление о регистрации на экзамен (при наличии - необходимо сдать его нам);</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выносить из аудиторий и ППЭ черновик КЕГЭ, черновики, экзаменационные материалы на электронном носителе, инструкцию для участников КЕГЭ по использованию ПО для сдачи КЕГЭ, приложение к паспорту станции КЕГЭ, включающее сведения об установленном стандартном ПО, предоставляемом для выполнения ЭР, и рабочей папке, с которой следует работать во время экзамена;</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фотографировать экзаменационные материалы, черновики;</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пользоваться справочными материалами, кроме тех, которые указаны в тексте КИМ и черновике КЕГЭ;</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переписывать задания из КИМ в черновики и в черновик КЕГЭ;</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перемещаться по ППЭ во время экзамена без сопровождения организатора;</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разговаривать, пересаживаться, обмениваться любыми материалами и предметами.</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 случае нарушения порядка проведения ЕГЭ вы будете удалены из ППЭ.</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Напоминаем, что частью 4 статьи 19.30 Кодекса Российской Федерации об административных правонарушениях предусмотрена административная ответственность. Умышленное искажение результатов государственной итоговой аттестации, а равно нарушение установленного законодательством об образовании порядка проведения государственной итоговой аттестации, влечет наложение административного штрафа на граждан в размере от трех тысяч до пяти тысяч рублей.</w:t>
      </w:r>
    </w:p>
    <w:p>
      <w:pPr>
        <w:pStyle w:val="111"/>
        <w:spacing w:lineRule="auto" w:line="240" w:before="0" w:after="0"/>
        <w:ind w:firstLine="800" w:left="0" w:right="0"/>
        <w:contextualSpacing/>
        <w:jc w:val="both"/>
        <w:rPr>
          <w:rFonts w:ascii="Times New Roman" w:hAnsi="Times New Roman"/>
        </w:rPr>
      </w:pPr>
      <w:r>
        <w:rPr>
          <w:rFonts w:ascii="Times New Roman" w:hAnsi="Times New Roman"/>
          <w:b/>
        </w:rPr>
        <w:t>В случае нарушения порядка проведения экзамена работниками ППЭ или другими участниками экзамена вы имеете право подать апелляцию о нарушении порядка. Апелляция о нарушении порядка подается в день проведения экзамена члену ГЭК до выхода из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Ознакомиться с результатами ЕГЭ вы сможете в школе или в местах, в которых вы были зарегистрированы на сдачу 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Плановая дата ознакомления с результатами: </w:t>
      </w:r>
      <w:r>
        <w:rPr>
          <w:rFonts w:ascii="Times New Roman" w:hAnsi="Times New Roman"/>
          <w:i/>
        </w:rPr>
        <w:t>(назвать дату).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После получения результатов ЕГЭ вы можете подать апелляцию о несогласии с выставленными баллами. Апелляция подается в течение двух рабочих дней после официального дня объявления результатов 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Апелляцию вы можете подать через сайт gia41.ru</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Апелляция по вопросам содержания и структуры заданий по учебным предметам, а также по вопросам, связанным с оцениванием результатов выполнения заданий КИМ с кратким ответом, с нарушением участником экзамена требований Порядка, с неправильным заполнением бланков КЕГЭ, не рассматривается.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Апелляция по КЕГЭ не предусматривает повторное оценивание и разъяснения эксперта предметной комиссии по оцениванию ответов на задания КИМ КЕГЭ в связи с отсутствием развернутых ответов, оцениваемых экспертами предметной комиссии. Будут рассматриваться только вопросы, связанные с возможными техническими проблемами при проведении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Обращаем внимание, что во время экзамена на вашем рабочем столе, помимо бланков регистрации, могут находиться только:</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гелевая или капиллярная ручка с чернилами черного цвета;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документ, удостоверяющий личность;</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лекарства (при необходимости);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продукты питания для дополнительного приема пищи (шоколад), бутилированная питьевая вода при условии, что упаковка указанных продуктов питания и воды, а также их потребление не будут отвлекать других участников экзаменов от выполнения ими экзаменационной работы (при необходимости);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черновик КЕГЭ, выданные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инструкция для участника КЕГЭ по использованию ПО для сдачи экзамена; приложение к паспорту станции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специальные технические средства (для участников с ограниченными возможностями здоровья, детей-инвалидов, инвалидов).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Черновики, которые используются на других экзаменах, будут выданы при необходимости по вашему запросу.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Участникам КЕГЭ разрешается использовать программу Microsoft Windows «Калькулятор», предназначенную для выполнения вычислительных операций, а также графический редактор Microsoft Paint.</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Во время выполнения экзаменационной работы для сохранения рабочих файлов - как тех, которые приложены к заданиям на станции КЕГЭ, так и тех, которые вы создаёте самостоятельно, - необходимо использовать рабочую папку экзамена. Её адрес указан в приложении к паспорту станции КЕГЭ, которое лежит у вас на столе. По всем вопросам, связанным с проведением экзамена (за исключением вопросов по содержанию КИМ), вы можете обращаться к нам.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 случае необходимости выхода из аудитории оставьте ваши бланки регистрации, а также документ, удостоверяющий личность, черновик ЕГЭ, черновики (при наличии), инструкцию для участника КЕГЭ по использованию ПО для сдачи экзамена по информатике в компьютерной форме, приложение к паспорту станции КЕГЭ и письменные принадлежности на своем рабочем столе. На территории ППЭ вас будет сопровождать организатор.</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 случае плохого самочувствия незамедлительно обращайтесь к нам. В ППЭ присутствует медицинский работник. Напоминаем, что при ухудшении состояния здоровья и по другим объективным причинам вы можете досрочно завершить выполнение экзаменационной работы и прийти на пересдачу в резервные сроки проведения экзамена по соответствующему учебному предмету.</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Выполнение экзаменационной работы будет проходить на компьютере (ноутбуке). Настоятельно рекомендуем соблюдать гигиенические требования при работе с компьютером (ноутбуком) и периодически делать перерывы в работе с монитором. Во время таких перерывов вы можете продолжать работать над решением экзаменационных заданий, используя черновик КЕГЭ или черновики. Также вы можете выполнять известные вам упражнения для глаз и на расслабление мышц плечевого пояса. Рекомендуется первый такой перерыв сделать не позднее, чем через полчаса после начала работы за компьютером (ноутбуком), далее через каждые 20 минут.</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Обратите внимание участников экзамена на следующий момент:</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У вас на столах находится инструкция для участника КЕГЭ по использованию ПО для сдачи экзамена по информатике в компьютерной форме. Эта инструкция будет вам доступна на протяжении всего экзамена. Ознакомьтесь с ней.</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Сделайте паузу для ознакомления участников экзамена с указанной инструкцией.</w:t>
      </w:r>
    </w:p>
    <w:p>
      <w:pPr>
        <w:pStyle w:val="111"/>
        <w:spacing w:lineRule="auto" w:line="240" w:before="0" w:after="0"/>
        <w:ind w:firstLine="760" w:left="0" w:right="0"/>
        <w:contextualSpacing/>
        <w:jc w:val="both"/>
        <w:rPr>
          <w:rFonts w:ascii="Times New Roman" w:hAnsi="Times New Roman"/>
        </w:rPr>
      </w:pPr>
      <w:r>
        <w:rPr>
          <w:rFonts w:ascii="Times New Roman" w:hAnsi="Times New Roman"/>
          <w:i/>
          <w:u w:val="single"/>
        </w:rPr>
        <w:t>Не ранее 10:00</w:t>
      </w:r>
      <w:r>
        <w:rPr>
          <w:rFonts w:ascii="Times New Roman" w:hAnsi="Times New Roman"/>
          <w:i/>
        </w:rPr>
        <w:t xml:space="preserve"> организатор в аудитории обращает внимание участников экзамена на станцию организатора.</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Экзаменационные материалы с бланками регистрации поступили на станцию организатора в зашифрованном виде.</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Бланки регистрации будут распечатаны и выданы вам. Печать начнётся ровно в 10:00.</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Экзаменационные материалы с КИМ поступили на станции для сдачи экзамена по информатике и ИКТ в компьютерной форме в зашифрованном виде. Они будут расшифрованы после выдачи бланков регистрации.</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Не ранее 10.00 по местному времени организатор, ответственный за печать бланков регистрации, вводит количество бланков регистрации для печати и запускает процедуру расшифровки бланков регистрации (процедура расшифровки может быть инициирована, если техническим специалистом и членом ГЭК ранее был загружен и активирован ключ доступа к ЭМ).</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Выполняется печать бланков регистрации и проверка качества печати бланка регистрации: отсутствие белых и темных полос, текст хорошо читаем и четко пропечатан; результат проверки сообщается организатору, ответственному за печать, для подтверждения качества печати на станции организатора. Качественный бланк регистрации размещается на столе для выдачи участникам, некачественный - откладывается.</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Далее начинается вторая часть инструктажа.</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Вам выдаются напечатанные в аудитории ППЭ бланки регистрации, а также черновики КЕГЭ.</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Организатор в аудитории, ответственный за проведение инструктажа, раздает участникам распечатанные бланки регистрации в произвольном порядке, а также черновики КЕГЭ. Организатор в аудитории, ответственный за расшифровку КИМ на станциях КЕГЭ, запускает процедуру расшифровки КИМ на станциях КЕГЭ нажатием кнопки «Прочитать КИМ». По окончании расшифровки убеждается, что станция КЕГЭ перешла на страницу ввода номера бланка регистрации.</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После выдачи бланков регистрации и одновременно с расшифровкой КИМ:</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Возьмите выданный бланк регистрации и проверьте качество его печати. В случае если вы обнаружили некачественную печать, обратитесь к нам.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Сделайте паузу для проверки участниками экзамена качества печати бланка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При обнаружении типографских дефектов замените бланк регистрации, выполнив дополнительную печать бланка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Приступаем к заполнению бланка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Записывайте буквы и цифры в соответствии с образцом на бланке. Каждая цифра, символ записывается в отдельную клетку.</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Поля «Код региона», «Код ППЭ», «Код предмета», «Название предмета», «Дата проведения ЕГЭ» заполнены автоматически.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Заполните поля «Код образовательной организации» и «Номер аудитории» в соответствии с информацией на доске (информационном стенде).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Обратите внимание участников экзамена на доску (информационный стенд).</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Заполните поле «Класс».</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Поля «служебная отметка» и «резерв-1» не заполняются.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Заполняем сведения об участнике экзамена, поля: «Фамилия», «Имя», «Отчество (при наличии)», «Данные документа, удостоверяющего личность».</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Сделайте паузу для заполнения участниками экзамена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Поставьте вашу подпись в поле «Подпись участника ЕГЭ», расположенном в нижней части бланка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В случае если участник экзамена отказывается ставить личную подпись в бланке регистрации, организатор в аудитории ставит в бланке регистрации свою подпись.</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Приступаем к работе на станции КЕГЭ. Внесите номер бланка регистрации в ПО для сдачи экзамена, нажмите кнопку «Далее», ознакомьтесь с инструкцией по выполнению работы, появившейся на экране, и остановитесь на странице регистрации участника для проверки организатором.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Сделать паузу для выполнения участниками экзамена указанных действий.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Сейчас мы пройдём и проверим правильность заполнения бланка регистрации и ввода номера бланка регистрации в ПО для сдачи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Организаторы в аудитории проверяют правильность заполнения: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регистрационных полей на бланках регистрации экзамена у каждого участника экзамена и соответствие данных участника экзамена (ФИО, серии и номера документа, удостоверяющего личность) в бланке регистрации и документе, удостоверяющем личность. В случае обнаружения ошибочного заполнения регистрационных полей бланка организаторы в аудитории дают указание участнику экзамена внести соответствующие исправления;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номера бланка регистрации, введенного участником экзамена в ПО для сдачи экзамена с бумажного бланка регистрации. В случае ошибочного заполнения организаторы в аудитории дают указание участнику экзамена внести соответствующие исправления в ПО для сдачи экзамена. В случае верного значения организаторы в аудитории подтверждают корректность введённых данных в ПО для сдачи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После проверки бланков регистрации у всех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Вы внесли номер бланка регистрации и ознакомились с инструкцией по выполнению работы. Данная инструкция будет доступна и во время выполнения экзаменационной работы. Сейчас вам будет назван код активации экзамена, после ввода которого начнется выполнение экзаменационной работы в ПО для сдачи экзамена. Код активации вводите только после соответствующей нашей команды. </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подготовки ответов на задания вы можете использовать установленное стандартное программное обеспечение, перечень которого указан в приложении к паспорту станции КЕГЭ. Приложение находится у вас на рабочих столах. Ознакомьтесь с ним.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i/>
        </w:rPr>
        <w:t>Дать время для ознакомления с перечнем стандартного ПО, предоставленного участнику экзамена во время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Ответы на задания необходимо внести в ПО для сдачи экзамена и зафиксировать их нажатием кнопки «Сохранить».</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Настоятельно рекомендуем записывать свои ответы в специально отведенные для этого поля черновика КЕГЭ, так как в случае сбоя в работе компьютера (ноутбука) и замены его на резервный вам придётся заново внести полученные вами ранее ответы. Обращаем внимание, что при наличии технических сбоев при выполнении экзаменационной работы вы сможете продолжить выполнение экзаменационных заданий за этим же (если его работоспособность будет восстановлена) или другим компьютером (ноутбуком) с использованием того же КИМ. В случае смены компьютера (ноутбука) необходимо будет внести ранее полученные ответы заново. При этом время, отведенное на экзамен, не продлевается.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Либо, по вашему желанию, экзамен может быть досрочно завершен. В таком случае вы будете повторно допущены к экзамену по информатике в резервные сроки, однако вам будет предоставлен другой вариант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 случае самостоятельного завершения экзамена Вы можете нажать кнопку «Завершить экзамен», после чего на вашем экране появится «Протокол ответов участника КЕГЭ» - таблица с внесенными вами ответами. Убедитесь в полноте и достоверности отображаемой в этом окне информации, подтвердите соответствие данной таблицы внесенным ответам. В случае необходимости вы можете вернуться к выполнению заданий и исправить данные вами ответы.</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Если вы завершаете выполнение заданий по истечении времени, отведенного на экзамен, у вас не будет возможности исправить свои ответы после просмотра протокола.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Вам будет необходимо подтвердить соответствие данной таблицы внесенным ответам. Окно с формой протокола не может быть закрыто без подтверждения участником КЕГЭ просмотра и согласия с внесенными ответами. После нажатия кнопок «Принять» и «Закрыть» необходимо перейти к странице «Экзамен закончен», на которой отображается краткая информация о количестве сохраненных ответов и контрольной сумме.</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Далее необходимо перенести в специально предназначенное для этих целей поле в бланке регистрации контрольную сумму, автоматически сформированную в ПО для сдачи экзамена на основе введенных ответов. Внося контрольную сумму, вы также подтверждаете, что ваши ответы внесены и сохранены в ПО для сдачи экзаменов верно.</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Код активации экзамена: </w:t>
      </w:r>
      <w:r>
        <w:rPr>
          <w:rFonts w:ascii="Times New Roman" w:hAnsi="Times New Roman"/>
          <w:i/>
        </w:rPr>
        <w:t>(сообщите код активации экзамена, полученный от руководителя ППЭ).</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 xml:space="preserve">Начало выполнения экзаменационной работы: </w:t>
      </w:r>
      <w:r>
        <w:rPr>
          <w:rFonts w:ascii="Times New Roman" w:hAnsi="Times New Roman"/>
          <w:i/>
        </w:rPr>
        <w:t>(объявите время начала экзамена).</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 xml:space="preserve">Окончание выполнения экзаменационной работы: </w:t>
      </w:r>
      <w:r>
        <w:rPr>
          <w:rFonts w:ascii="Times New Roman" w:hAnsi="Times New Roman"/>
          <w:i/>
        </w:rPr>
        <w:t>(укажите время).</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Запишите на доске (информационном стенде) код активации экзамена, время начала и окончания выполнения ЭР.</w:t>
      </w:r>
    </w:p>
    <w:p>
      <w:pPr>
        <w:pStyle w:val="Normal"/>
        <w:widowControl/>
        <w:spacing w:lineRule="auto" w:line="240" w:before="0" w:after="0"/>
        <w:ind w:firstLine="709" w:left="0" w:right="0"/>
        <w:contextualSpacing/>
        <w:jc w:val="both"/>
        <w:rPr>
          <w:rFonts w:ascii="Times New Roman" w:hAnsi="Times New Roman"/>
        </w:rPr>
      </w:pPr>
      <w:r>
        <w:rPr>
          <w:rFonts w:ascii="Times New Roman" w:hAnsi="Times New Roman"/>
          <w:i/>
          <w:sz w:val="26"/>
        </w:rPr>
        <w:t>Важно! Время, отведенное на настройку необходимых технических средств, используемых при проведении экзамена, инструктаж участников экзаменов, печать и выдачу бланков регистрации, заполнение участниками экзаменов регистрационных полей бланков регистрации, выдачу черновиков (за исключением черновиков, выдаваемых во время проведения экзамена), выданных в ППЭ, в общее время выполнения экзаменационной работы не включается.</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Теперь вы можете внести код активации экзамена в ПО для сдачи экзамена и начать выполнение экзаменационной работы.</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Инструктаж окончен.</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Желаем удачи!</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 xml:space="preserve">Важно! При необходимости (в случае возникновения технических сбоев) станции КЕГЭ заменяется на резервную. Выполнение ЭР участником экзамена осуществляется с </w:t>
      </w:r>
      <w:r>
        <w:rPr>
          <w:rFonts w:ascii="Times New Roman" w:hAnsi="Times New Roman"/>
          <w:b/>
          <w:i/>
          <w:u w:val="single"/>
        </w:rPr>
        <w:t>тем же бланком регистрации,</w:t>
      </w:r>
      <w:r>
        <w:rPr>
          <w:rFonts w:ascii="Times New Roman" w:hAnsi="Times New Roman"/>
          <w:b/>
          <w:i/>
        </w:rPr>
        <w:t xml:space="preserve"> </w:t>
      </w:r>
      <w:r>
        <w:rPr>
          <w:rFonts w:ascii="Times New Roman" w:hAnsi="Times New Roman"/>
          <w:i/>
        </w:rPr>
        <w:t xml:space="preserve">время окончания экзамена для участника экзамена не меняется и определяется временем, объявленным организатором в момент начала экзамена. Член ГЭК и организатор в аудитории </w:t>
      </w:r>
      <w:r>
        <w:rPr>
          <w:rFonts w:ascii="Times New Roman" w:hAnsi="Times New Roman"/>
          <w:b/>
          <w:i/>
        </w:rPr>
        <w:t>информируют участника экзамена о необходимости повторного ввода ответов на задания, которые были выполнены на вышедшей из строя станции, а также о том, что время экзамена не продлевается.</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 xml:space="preserve">В случае если участник не согласен на выполнение ЭР на резервной станции КЕГЭ, принимается решение, что он не завершил экзамен по объективным причинам с оформлением соответствующего акта (форма ППЭ-22 «Акт о досрочном завершении экзамена по объективным причинам») и </w:t>
      </w:r>
      <w:r>
        <w:rPr>
          <w:rFonts w:ascii="Times New Roman" w:hAnsi="Times New Roman"/>
          <w:b/>
          <w:i/>
          <w:u w:val="single"/>
        </w:rPr>
        <w:t>направляется на пересдачу экзамена в резервный день по решению председателя ГЭК.</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За 30 минут до окончания выполнения ЭР необходимо объявить:</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До окончания выполнения экзаменационной работы осталось 30 минут. Не забудьте проверить корректность внесения и сохранения Ваших ответов на задания в ПО для сдачи экзамена. После завершения экзамена в ПО для сдачи экзамена не забудьте перенести в бланк регистрации контрольную сумму.</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За 5 минут до окончания выполнения ЭР необходимо объявить:</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До окончания выполнения экзаменационной работы осталось 5 минут. Не забудьте проверить корректность внесения и сохранения Ваших ответов на задания в ПО для сдачи экзамена. После завершения экзамена в ПО для сдачи экзамена не забудьте перенести в бланк регистрации контрольную сумму. При завершении экзамена по окончании отведенного времени у вас не будет возможности изменения ответов.</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По окончании выполнения ЭР (экзамена) объявить:</w:t>
      </w:r>
    </w:p>
    <w:p>
      <w:pPr>
        <w:pStyle w:val="111"/>
        <w:spacing w:lineRule="auto" w:line="240" w:before="0" w:after="0"/>
        <w:ind w:firstLine="760" w:left="0" w:right="0"/>
        <w:contextualSpacing/>
        <w:jc w:val="both"/>
        <w:rPr>
          <w:rFonts w:ascii="Times New Roman" w:hAnsi="Times New Roman"/>
        </w:rPr>
      </w:pPr>
      <w:r>
        <w:rPr>
          <w:rFonts w:ascii="Times New Roman" w:hAnsi="Times New Roman"/>
          <w:b/>
        </w:rPr>
        <w:t>Выполнение экзаменационной работы окончено. Завершите экзамен в ПО для сдачи экзамена и перенесите в бланк регистрации контрольную сумму</w:t>
      </w:r>
      <w:r>
        <w:rPr>
          <w:rFonts w:ascii="Times New Roman" w:hAnsi="Times New Roman"/>
        </w:rPr>
        <w:t xml:space="preserve">, </w:t>
      </w:r>
      <w:r>
        <w:rPr>
          <w:rFonts w:ascii="Times New Roman" w:hAnsi="Times New Roman"/>
          <w:b/>
        </w:rPr>
        <w:t>автоматически сформированную в ПО на основе введенных вами ответов в систему. Положите экзаменационные материалы на край стола. Мы пройдем и соберем ваши экзаменационные материалы.</w:t>
      </w:r>
    </w:p>
    <w:p>
      <w:pPr>
        <w:pStyle w:val="111"/>
        <w:spacing w:lineRule="auto" w:line="240" w:before="0" w:after="0"/>
        <w:ind w:firstLine="760" w:left="0" w:right="0"/>
        <w:contextualSpacing/>
        <w:jc w:val="both"/>
        <w:rPr>
          <w:rFonts w:ascii="Times New Roman" w:hAnsi="Times New Roman"/>
        </w:rPr>
      </w:pPr>
      <w:r>
        <w:rPr>
          <w:rFonts w:ascii="Times New Roman" w:hAnsi="Times New Roman"/>
          <w:i/>
        </w:rPr>
        <w:t>Организаторы в аудитории осуществляют сбор экзаменационных материалов с рабочих мест участников экзамена в организованном порядке, сверяя контрольную сумму в бланке регистрации с контрольной суммой в станции КЕГЭ.</w:t>
      </w:r>
    </w:p>
    <w:p>
      <w:pPr>
        <w:sectPr>
          <w:headerReference w:type="default" r:id="rId6"/>
          <w:footerReference w:type="default" r:id="rId7"/>
          <w:footnotePr>
            <w:numFmt w:val="decimal"/>
          </w:footnotePr>
          <w:type w:val="nextPage"/>
          <w:pgSz w:w="11906" w:h="16838"/>
          <w:pgMar w:left="842" w:right="320" w:gutter="0" w:header="555" w:top="983" w:footer="3" w:bottom="709"/>
          <w:pgNumType w:start="344" w:fmt="decimal"/>
          <w:formProt w:val="false"/>
          <w:textDirection w:val="lrTb"/>
          <w:docGrid w:type="default" w:linePitch="100" w:charSpace="0"/>
        </w:sectPr>
        <w:pStyle w:val="Normal"/>
        <w:spacing w:lineRule="auto" w:line="240" w:before="0" w:after="0"/>
        <w:contextualSpacing/>
        <w:rPr>
          <w:rFonts w:ascii="Times New Roman" w:hAnsi="Times New Roman"/>
          <w:sz w:val="26"/>
        </w:rPr>
      </w:pPr>
      <w:r>
        <w:rPr>
          <w:rFonts w:ascii="Times New Roman" w:hAnsi="Times New Roman"/>
          <w:sz w:val="26"/>
        </w:rPr>
      </w:r>
      <w:r>
        <w:br w:type="page"/>
      </w:r>
    </w:p>
    <w:p>
      <w:pPr>
        <w:pStyle w:val="Heading2"/>
        <w:numPr>
          <w:ilvl w:val="1"/>
          <w:numId w:val="6"/>
        </w:numPr>
        <w:spacing w:lineRule="auto" w:line="240" w:before="0" w:after="0"/>
        <w:contextualSpacing/>
        <w:rPr>
          <w:rFonts w:ascii="Times New Roman" w:hAnsi="Times New Roman"/>
        </w:rPr>
      </w:pPr>
      <w:bookmarkStart w:id="34" w:name="__RefHeading___9"/>
      <w:bookmarkStart w:id="35" w:name="bookmark26"/>
      <w:bookmarkStart w:id="36" w:name="bookmark27"/>
      <w:bookmarkStart w:id="37" w:name="bookmark28"/>
      <w:bookmarkEnd w:id="34"/>
      <w:r>
        <w:rPr>
          <w:rFonts w:ascii="Times New Roman" w:hAnsi="Times New Roman"/>
        </w:rPr>
        <w:t>Инструктаж для организаторов, проводимый в ППЭ перед началом КЕГЭ</w:t>
      </w:r>
      <w:bookmarkEnd w:id="35"/>
      <w:bookmarkEnd w:id="36"/>
      <w:bookmarkEnd w:id="37"/>
      <w:r>
        <w:rPr>
          <w:rStyle w:val="FootnoteReference"/>
          <w:rFonts w:ascii="Times New Roman" w:hAnsi="Times New Roman"/>
        </w:rPr>
        <w:footnoteReference w:id="10"/>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Здравствуйте, уважаемые коллеги!</w:t>
      </w:r>
    </w:p>
    <w:p>
      <w:pPr>
        <w:pStyle w:val="111"/>
        <w:tabs>
          <w:tab w:val="clear" w:pos="708"/>
          <w:tab w:val="left" w:pos="2458" w:leader="underscore"/>
          <w:tab w:val="left" w:pos="4503" w:leader="underscore"/>
          <w:tab w:val="left" w:pos="7537" w:leader="underscore"/>
        </w:tabs>
        <w:spacing w:lineRule="auto" w:line="240" w:before="0" w:after="0"/>
        <w:ind w:firstLine="740" w:left="0" w:right="0"/>
        <w:contextualSpacing/>
        <w:jc w:val="both"/>
        <w:rPr>
          <w:rFonts w:ascii="Times New Roman" w:hAnsi="Times New Roman"/>
        </w:rPr>
      </w:pPr>
      <w:r>
        <w:rPr>
          <w:rFonts w:ascii="Times New Roman" w:hAnsi="Times New Roman"/>
        </w:rPr>
        <w:t>Сегодня, «</w:t>
        <w:tab/>
        <w:t xml:space="preserve">» </w:t>
        <w:tab/>
        <w:t xml:space="preserve"> 2026 года в ППЭ №</w:t>
        <w:tab/>
        <w:t xml:space="preserve"> проводится экзамен по</w:t>
      </w:r>
    </w:p>
    <w:p>
      <w:pPr>
        <w:pStyle w:val="111"/>
        <w:spacing w:lineRule="auto" w:line="240" w:before="0" w:after="0"/>
        <w:ind w:hanging="0" w:left="0" w:right="0"/>
        <w:contextualSpacing/>
        <w:jc w:val="both"/>
        <w:rPr>
          <w:rFonts w:ascii="Times New Roman" w:hAnsi="Times New Roman"/>
        </w:rPr>
      </w:pPr>
      <w:r>
        <w:rPr>
          <w:rFonts w:ascii="Times New Roman" w:hAnsi="Times New Roman"/>
        </w:rPr>
        <w:t>информатике и ИКТ в компьютерной форме.</w:t>
      </w:r>
    </w:p>
    <w:p>
      <w:pPr>
        <w:pStyle w:val="111"/>
        <w:tabs>
          <w:tab w:val="clear" w:pos="708"/>
          <w:tab w:val="left" w:pos="7172" w:leader="underscore"/>
        </w:tabs>
        <w:spacing w:lineRule="auto" w:line="240" w:before="0" w:after="0"/>
        <w:ind w:firstLine="740" w:left="0" w:right="0"/>
        <w:contextualSpacing/>
        <w:jc w:val="both"/>
        <w:rPr>
          <w:rFonts w:ascii="Times New Roman" w:hAnsi="Times New Roman"/>
        </w:rPr>
      </w:pPr>
      <w:r>
        <w:rPr>
          <w:rFonts w:ascii="Times New Roman" w:hAnsi="Times New Roman"/>
        </w:rPr>
        <w:t xml:space="preserve">Экзамен проходит в форме ЕГЭ, в аудиториях № </w:t>
        <w:tab/>
        <w:t xml:space="preserve"> произведена спецрассадка</w:t>
      </w:r>
    </w:p>
    <w:p>
      <w:pPr>
        <w:pStyle w:val="111"/>
        <w:tabs>
          <w:tab w:val="clear" w:pos="708"/>
          <w:tab w:val="left" w:pos="4301" w:leader="underscore"/>
        </w:tabs>
        <w:spacing w:lineRule="auto" w:line="240" w:before="0" w:after="0"/>
        <w:ind w:hanging="0" w:left="0" w:right="0"/>
        <w:contextualSpacing/>
        <w:jc w:val="both"/>
        <w:rPr>
          <w:rFonts w:ascii="Times New Roman" w:hAnsi="Times New Roman"/>
        </w:rPr>
      </w:pPr>
      <w:r>
        <w:rPr>
          <w:rFonts w:ascii="Times New Roman" w:hAnsi="Times New Roman"/>
        </w:rPr>
        <w:t>(аудиторий со спецрассадкой нет). Плановая дата ознакомления участников экзамена с результатами -</w:t>
        <w:tab/>
      </w:r>
      <w:r>
        <w:rPr>
          <w:rFonts w:ascii="Times New Roman" w:hAnsi="Times New Roman"/>
          <w:i/>
        </w:rPr>
        <w:t>(назвать дату).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Все категории сотрудников действуют в соответствии со своими инструкциями. Сейчас мы проговорим основные моменты подготовки и проведения КЕГЭ.</w:t>
      </w:r>
    </w:p>
    <w:p>
      <w:pPr>
        <w:pStyle w:val="111"/>
        <w:numPr>
          <w:ilvl w:val="0"/>
          <w:numId w:val="2"/>
        </w:numPr>
        <w:tabs>
          <w:tab w:val="clear" w:pos="708"/>
          <w:tab w:val="left" w:pos="1113" w:leader="none"/>
        </w:tabs>
        <w:spacing w:lineRule="auto" w:line="240" w:before="0" w:after="0"/>
        <w:ind w:firstLine="740" w:left="0" w:right="0"/>
        <w:contextualSpacing/>
        <w:jc w:val="both"/>
        <w:rPr>
          <w:rFonts w:ascii="Times New Roman" w:hAnsi="Times New Roman"/>
        </w:rPr>
      </w:pPr>
      <w:r>
        <w:rPr>
          <w:rFonts w:ascii="Times New Roman" w:hAnsi="Times New Roman"/>
          <w:i/>
        </w:rPr>
        <w:t>Подготовка аудиторий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До начала экзамена в аудитории необходимо проверить следующее: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 (ноутбук), принтер для печати бланков регистрации и сканер находятся в зоне видимости камер видеонаблюдения; подготовлено достаточно бумаги для печати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подготовлен калибровочный лист (тестовая страница границ печати) станции организатора;</w:t>
      </w:r>
    </w:p>
    <w:p>
      <w:pPr>
        <w:pStyle w:val="111"/>
        <w:numPr>
          <w:ilvl w:val="0"/>
          <w:numId w:val="2"/>
        </w:numPr>
        <w:tabs>
          <w:tab w:val="clear" w:pos="708"/>
          <w:tab w:val="left" w:pos="1072" w:leader="none"/>
        </w:tabs>
        <w:spacing w:lineRule="auto" w:line="240" w:before="0" w:after="0"/>
        <w:ind w:firstLine="740" w:left="0" w:right="0"/>
        <w:contextualSpacing/>
        <w:jc w:val="both"/>
        <w:rPr>
          <w:rFonts w:ascii="Times New Roman" w:hAnsi="Times New Roman"/>
        </w:rPr>
      </w:pPr>
      <w:r>
        <w:rPr>
          <w:rFonts w:ascii="Times New Roman" w:hAnsi="Times New Roman"/>
          <w:i/>
        </w:rPr>
        <w:t>Проведение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Непосредственно перед началом экзамена - не позднее, чем в 9:45 по местному времени ответственный организатор должен получить в Штабе ППЭ у руководителя ППЭ черновик КЕГЭ (на каждом листе которого проставлен штамп организации, на базе которой расположен ППЭ), черновики.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Второй организатор при этом остается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 КЕГЭ НЕ нужно раскладывать заранее на рабочие места участников экзамена, вы выдадите его вместе с бланками регистрации. «Обычные» черновики выдаются в аудитории в небольшом количестве, они также не раскладываются заранее на рабочие места участников экзамена, а выдаются только во время экзамена по запросу участников экзамена в случае, если им не хватает места для записей в черновике КЕГЭ (включая оборотные стороны его листов).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До начала экзамена на столы раскладываются инструкции по использованию ПО для сдачи КЕГЭ и приложения к паспорту станции КЕГЭ. Приложение к паспорту станции КЕГЭ раскладывается в соответствии с номером компьютера (ноутбука), указанным в интерфейсе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9:50 по местному времени начинается проведение первой части инструктажа для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Текст инструктажа, зачитываемый участникам экзамена, будет выдан по окончании настоящего инструктажа. Его необходимо зачитать участникам экзамена слово в слово.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Ответственный организатор распределяет роли организаторов в аудитории: на процедуру печати бланков регистрации - организатор, ответственный за печать бланков регистрации и организатор, ответственный за проверку качества бланков регистрации; на процедуру расшифровки КИМ на станциях КЕГЭ - организатор, ответственный за расшифровку ЭМ на станции КЕГЭ, и организатор, ответственный за проведение инструктажа, а также определяет ответственного за сканирование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Не ранее 10.00 нужно начать печать бланков регистрации в соответствии с инструкцией организатора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После окончания печати нужно раздать участникам экзамена бланки регистрации в произвольном порядке, черновики КЕГЭ и провести вторую часть инструктажа для участников экзамена. Одновременно с раздачей бланков регистрации и проведением второй части инструктажа запустить расшифровку КИМ на станциях КЕГЭ, используя кнопку «Прочитать КИМ». По окончании расшифровки убедиться, что станция КЕГЭ перешла на страницу ввода номера бланка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 проведении инструктажа необходимо контролировать действия участников экзамена, в том числе пресекать невыполнение требований организаторов в процессе проверки комплектности выданных материалов и заполнения бланков, не допускать начала выполнения ЭР до объявления времени начала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Проверить правильность заполнения бланков регистрации и полей в окне ввода номера бланка регистрации на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Обратить внимание участников экзамена на необходимость записи ответов на задания в черновик КЕГЭ - в случае замены станции КЕГЭ нужно будет повторно ввести ответы в новую станцию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Указать, что сведения о рабочей папке для сохранения и (или) создания электронных файлов в ходе выполнения ЭР находятся в приложении к паспорту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Объявить код активации экзамена, время начала и окончания экзамена, зафиксировать их на доске (информационном стенде). До объявления кода активации экзамена писать его на доске (информационном стенде) категорически запрещено!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Временем начала и окончания экзамена является время, объявленное организатором и записанное на доске (информационном стенде).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просьбе участника экзамена необходимо выдавать черновики - в случае если участнику экзамена не хватает места для записей в черновике КЕГЭ, включая оборотные стороны его листов.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Участники экзамена, досрочно завершившие выполнение ЭР, могут сдать ее организаторам в аудитории и покинуть ППЭ, не дожидаясь окончания экзамена. Организатору необходимо принять у них все ЭМ, проверить правильность переноса контрольной суммы с экрана компьютера (ноутбука) в бланк регистрации и удостоверить данное действие своей подписью на бланке регистрации участника в специально отведённом поле, а также убедиться, что участник экзамена прошёл все этапы завершения экзамена на станции КЕГЭ и оставляет станцию КЕГЭ на странице «Экзамен завершён» (на данной странице имеется окно для ввода пароля технического специалиста и кнопка «Перейти к экспорту результатов»).</w:t>
      </w:r>
    </w:p>
    <w:p>
      <w:pPr>
        <w:pStyle w:val="111"/>
        <w:numPr>
          <w:ilvl w:val="0"/>
          <w:numId w:val="2"/>
        </w:numPr>
        <w:tabs>
          <w:tab w:val="clear" w:pos="708"/>
          <w:tab w:val="left" w:pos="1072" w:leader="none"/>
        </w:tabs>
        <w:spacing w:lineRule="auto" w:line="240" w:before="0" w:after="0"/>
        <w:ind w:firstLine="740" w:left="0" w:right="0"/>
        <w:contextualSpacing/>
        <w:jc w:val="both"/>
        <w:rPr>
          <w:rFonts w:ascii="Times New Roman" w:hAnsi="Times New Roman"/>
        </w:rPr>
      </w:pPr>
      <w:r>
        <w:rPr>
          <w:rFonts w:ascii="Times New Roman" w:hAnsi="Times New Roman"/>
          <w:i/>
        </w:rPr>
        <w:t>Завершение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 30 минут и за 5 минут до окончания экзамена необходимо сообщить участникам экзамена о скором завершении экзамена и необходимости проверки корректности внесения и сохранения ответов на задания в ПО для сдачи экзамена, а также о необходимости переноса в бланк регистрации контрольной суммы;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истечении установленного времени объявить участникам экзамена в центре видимости камер(-ы) видеонаблюдения об окончании времени выполнения заданий и попросить завершить экзамен на станции КЕГЭ, проверить полноту и корректность внесённых ответов в станцию КЕГЭ и подтвердить это в соответствующем окне. Далее проинформировать о необходимости пройти на станции КЕГЭ до страницы «Экзамен завершён» и перенести контрольную сумму, автоматически сформированную в ПО, в соответствующее поле в бланке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Собрать все бланки регистрации, проверив правильность переноса контрольной суммы и удостоверив данное действие своей подписью на бланке регистрации участника в специально отведённом поле, а также убедившись, что на станции КЕГЭ отображается страница «Экзамен закончен», оформить протокол проведения экзамена в аудитории (форма ППЭ-05-02-К). При получении подписи участника экзамена предложить ему убедиться в правильности переноса контрольной суммы из бланка регистрации в форму ППЭ-05-02-К.</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После завершения выполнения ЭР участниками экзамена (все участники покинули аудиторию):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проинформировать руководителя ППЭ через организатора вне аудитории о завершении выполнения ЭР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выполнить сканирование бланков регистрации участников и форм ППЭ, предназначенных для сканирования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сканирования пригласить технического специалиста и члена ГЭК для экспорта электронных образов бланков регистрации и форм ППЭ и печати протоколов работы станции организатора;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подписать протокол печати полных комплектов ЭМ в аудитории ППЭ (форма ППЭ- 23) и протокол проведения процедуры сканирования бланков в аудитории ППЭ (форма ППЭ-15);</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упаковать бланки регистрации и другие материалы в соответствии с инструкцией организатора в аудитории в зоне видимости камер видеонаблюдения.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завершении этих процедур организаторы в аудитории проходят в Штаб ППЭ с ЭМ и передают ЭМ руководителю ППЭ в соответствии с инструкцией организатора в аудитории.</w:t>
      </w:r>
    </w:p>
    <w:p>
      <w:pPr>
        <w:pStyle w:val="111"/>
        <w:numPr>
          <w:ilvl w:val="0"/>
          <w:numId w:val="2"/>
        </w:numPr>
        <w:tabs>
          <w:tab w:val="clear" w:pos="708"/>
          <w:tab w:val="left" w:pos="1106" w:leader="none"/>
        </w:tabs>
        <w:spacing w:lineRule="auto" w:line="240" w:before="0" w:after="0"/>
        <w:ind w:firstLine="720" w:left="0" w:right="0"/>
        <w:contextualSpacing/>
        <w:jc w:val="both"/>
        <w:rPr>
          <w:rFonts w:ascii="Times New Roman" w:hAnsi="Times New Roman"/>
        </w:rPr>
      </w:pPr>
      <w:r>
        <w:rPr>
          <w:rFonts w:ascii="Times New Roman" w:hAnsi="Times New Roman"/>
          <w:i/>
        </w:rPr>
        <w:t>Направление работников ППЭ на рабочие места и выдача Документов.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окончании инструктажа руководитель должен объявить ответственных организаторов в аудитории (для сокращения времени проведения инструктажа руководить должен провести назначение ответственных организаторов заранее), и направить организаторов на рабочие места в соответствии с распределением (форма ППЭ-07), выдав им материалы.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Выдать ответственным организаторам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формы ППЭ-05-01 (2 экземпляра), ППЭ-05-02-К, ППЭ-12-02, ППЭ-12-04-МАШ, ППЭ-16;</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инструкцию для участников экзамена, зачитываемую организатором в аудитории перед началом экзамена (одна инструкция на аудиторию);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напечатанную тестовую страницу границ печати станции организатора соответствующей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таблички с номерами аудиторий;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инструкции по использованию ПО для сдачи КЕГЭ (на каждого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приложения к паспорту станции КЕГЭ;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2 ВДП. </w:t>
      </w:r>
    </w:p>
    <w:p>
      <w:pPr>
        <w:sectPr>
          <w:headerReference w:type="default" r:id="rId8"/>
          <w:headerReference w:type="first" r:id="rId9"/>
          <w:footerReference w:type="default" r:id="rId10"/>
          <w:footerReference w:type="first" r:id="rId11"/>
          <w:footnotePr>
            <w:numFmt w:val="decimal"/>
          </w:footnotePr>
          <w:type w:val="nextPage"/>
          <w:pgSz w:w="11906" w:h="16838"/>
          <w:pgMar w:left="1040" w:right="483" w:gutter="0" w:header="653" w:top="1081" w:footer="3" w:bottom="1456"/>
          <w:pgNumType w:fmt="decimal"/>
          <w:formProt w:val="false"/>
          <w:textDirection w:val="lrTb"/>
          <w:docGrid w:type="default" w:linePitch="312" w:charSpace="4294961151"/>
        </w:sectPr>
      </w:pPr>
    </w:p>
    <w:p>
      <w:pPr>
        <w:pStyle w:val="Heading2"/>
        <w:numPr>
          <w:ilvl w:val="1"/>
          <w:numId w:val="6"/>
        </w:numPr>
        <w:spacing w:lineRule="auto" w:line="240" w:before="0" w:after="0"/>
        <w:contextualSpacing/>
        <w:jc w:val="center"/>
        <w:rPr>
          <w:rFonts w:ascii="Times New Roman" w:hAnsi="Times New Roman"/>
        </w:rPr>
      </w:pPr>
      <w:bookmarkStart w:id="38" w:name="__RefHeading___10"/>
      <w:bookmarkStart w:id="39" w:name="bookmark49"/>
      <w:bookmarkStart w:id="40" w:name="bookmark48"/>
      <w:bookmarkStart w:id="41" w:name="bookmark47"/>
      <w:bookmarkEnd w:id="38"/>
      <w:r>
        <w:rPr>
          <w:rFonts w:ascii="Times New Roman" w:hAnsi="Times New Roman"/>
        </w:rPr>
        <w:t>Требования к техническому оснащению ППЭ</w:t>
      </w:r>
      <w:bookmarkEnd w:id="39"/>
      <w:bookmarkEnd w:id="40"/>
      <w:bookmarkEnd w:id="41"/>
    </w:p>
    <w:tbl>
      <w:tblPr>
        <w:tblStyle w:val="Style_16"/>
        <w:tblW w:w="10343" w:type="dxa"/>
        <w:jc w:val="left"/>
        <w:tblInd w:w="0" w:type="dxa"/>
        <w:tblLayout w:type="fixed"/>
        <w:tblCellMar>
          <w:top w:w="0" w:type="dxa"/>
          <w:left w:w="108" w:type="dxa"/>
          <w:bottom w:w="0" w:type="dxa"/>
          <w:right w:w="108" w:type="dxa"/>
        </w:tblCellMar>
      </w:tblPr>
      <w:tblGrid>
        <w:gridCol w:w="1696"/>
        <w:gridCol w:w="1700"/>
        <w:gridCol w:w="6947"/>
      </w:tblGrid>
      <w:tr>
        <w:trPr>
          <w:tblHeader w:val="true"/>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Компонент</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Количество</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Конфигурация</w:t>
            </w:r>
          </w:p>
        </w:tc>
      </w:tr>
      <w:tr>
        <w:trPr/>
        <w:tc>
          <w:tcPr>
            <w:tcW w:w="10343" w:type="dxa"/>
            <w:gridSpan w:val="3"/>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i/>
                <w:spacing w:val="0"/>
                <w:kern w:val="0"/>
                <w:sz w:val="24"/>
                <w:szCs w:val="20"/>
              </w:rPr>
              <w:t>Рабочие станции</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Станция организатора</w:t>
            </w:r>
          </w:p>
        </w:tc>
        <w:tc>
          <w:tcPr>
            <w:tcW w:w="1700" w:type="dxa"/>
            <w:tcBorders/>
          </w:tcPr>
          <w:p>
            <w:pPr>
              <w:pStyle w:val="TableParagraph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по 1</w:t>
            </w:r>
          </w:p>
          <w:p>
            <w:pPr>
              <w:pStyle w:val="TableParagraph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на каждую аудиторию проведения + не менее</w:t>
            </w:r>
          </w:p>
          <w:p>
            <w:pPr>
              <w:pStyle w:val="11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1 резервной станции на 3- 4 основные станции</w:t>
            </w:r>
          </w:p>
        </w:tc>
        <w:tc>
          <w:tcPr>
            <w:tcW w:w="6947" w:type="dxa"/>
            <w:tcBorders/>
          </w:tcPr>
          <w:p>
            <w:pPr>
              <w:pStyle w:val="TableParagraph1"/>
              <w:widowControl w:val="false"/>
              <w:spacing w:lineRule="auto" w:line="240" w:before="0" w:after="0"/>
              <w:ind w:hanging="0" w:left="102" w:right="4333"/>
              <w:contextualSpacing/>
              <w:jc w:val="left"/>
              <w:rPr>
                <w:rFonts w:ascii="Times New Roman" w:hAnsi="Times New Roman"/>
                <w:spacing w:val="0"/>
                <w:kern w:val="0"/>
                <w:szCs w:val="20"/>
              </w:rPr>
            </w:pPr>
            <w:r>
              <w:rPr>
                <w:rFonts w:ascii="Times New Roman" w:hAnsi="Times New Roman"/>
                <w:b/>
                <w:spacing w:val="0"/>
                <w:kern w:val="0"/>
                <w:sz w:val="24"/>
                <w:szCs w:val="20"/>
              </w:rPr>
              <w:t>Процессор</w:t>
            </w:r>
            <w:r>
              <w:rPr>
                <w:rFonts w:ascii="Times New Roman" w:hAnsi="Times New Roman"/>
                <w:spacing w:val="0"/>
                <w:kern w:val="0"/>
                <w:sz w:val="24"/>
                <w:szCs w:val="20"/>
              </w:rPr>
              <w:t>: количество ядер: от 4;</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частота: от 2,0 ГГц.</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 xml:space="preserve">Оперативная память: </w:t>
            </w:r>
            <w:r>
              <w:rPr>
                <w:rFonts w:ascii="Times New Roman" w:hAnsi="Times New Roman"/>
                <w:spacing w:val="0"/>
                <w:kern w:val="0"/>
                <w:sz w:val="24"/>
                <w:szCs w:val="20"/>
              </w:rPr>
              <w:t>от 4 Гбайт,</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доступная (свободная) память для работы ПО (неиспользуемая прочими приложениями): не менее 1 Гбайт.</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Свободное дисковое пространство</w:t>
            </w:r>
            <w:r>
              <w:rPr>
                <w:rFonts w:ascii="Times New Roman" w:hAnsi="Times New Roman"/>
                <w:spacing w:val="0"/>
                <w:kern w:val="0"/>
                <w:sz w:val="24"/>
                <w:szCs w:val="20"/>
              </w:rPr>
              <w:t>:</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от 100 Гбайт на начало экзаменационного периода;</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не менее 20% от общего объема жесткого диска в течение экзаменационного периода.</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Прочее оборудование</w:t>
            </w:r>
            <w:r>
              <w:rPr>
                <w:rFonts w:ascii="Times New Roman" w:hAnsi="Times New Roman"/>
                <w:spacing w:val="0"/>
                <w:kern w:val="0"/>
                <w:sz w:val="24"/>
                <w:szCs w:val="20"/>
              </w:rPr>
              <w:t>:</w:t>
            </w:r>
          </w:p>
          <w:p>
            <w:pPr>
              <w:pStyle w:val="TableParagraph1"/>
              <w:widowControl w:val="false"/>
              <w:spacing w:lineRule="auto" w:line="240" w:before="0" w:after="0"/>
              <w:ind w:hanging="0" w:left="102" w:right="666"/>
              <w:contextualSpacing/>
              <w:jc w:val="left"/>
              <w:rPr>
                <w:rFonts w:ascii="Times New Roman" w:hAnsi="Times New Roman"/>
                <w:spacing w:val="0"/>
                <w:kern w:val="0"/>
                <w:szCs w:val="20"/>
              </w:rPr>
            </w:pPr>
            <w:r>
              <w:rPr>
                <w:rFonts w:ascii="Times New Roman" w:hAnsi="Times New Roman"/>
                <w:spacing w:val="0"/>
                <w:kern w:val="0"/>
                <w:sz w:val="24"/>
                <w:szCs w:val="20"/>
              </w:rPr>
              <w:t>Звуковая карта (для проведения письменного экзамена по иностранному языку).</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Аудиоколонки (для проведения письменного экзамена по иностранному языку).</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Видеокарта и монитор:</w:t>
            </w:r>
          </w:p>
          <w:p>
            <w:pPr>
              <w:pStyle w:val="TableParagraph1"/>
              <w:widowControl w:val="false"/>
              <w:spacing w:lineRule="auto" w:line="240" w:before="0" w:after="0"/>
              <w:ind w:hanging="0" w:left="454" w:right="103"/>
              <w:contextualSpacing/>
              <w:jc w:val="both"/>
              <w:rPr>
                <w:rFonts w:ascii="Times New Roman" w:hAnsi="Times New Roman"/>
                <w:spacing w:val="0"/>
                <w:kern w:val="0"/>
                <w:szCs w:val="20"/>
              </w:rPr>
            </w:pPr>
            <w:r>
              <w:rPr>
                <w:rFonts w:ascii="Times New Roman" w:hAnsi="Times New Roman"/>
                <w:spacing w:val="0"/>
                <w:kern w:val="0"/>
                <w:sz w:val="24"/>
                <w:szCs w:val="20"/>
              </w:rPr>
              <w:t>разрешение не менее 1280 по горизонтали, не менее 1024 по</w:t>
            </w:r>
            <w:r>
              <w:rPr>
                <w:rFonts w:ascii="Times New Roman" w:hAnsi="Times New Roman"/>
                <w:spacing w:val="-2"/>
                <w:kern w:val="0"/>
                <w:sz w:val="24"/>
                <w:szCs w:val="20"/>
              </w:rPr>
              <w:t xml:space="preserve"> </w:t>
            </w:r>
            <w:r>
              <w:rPr>
                <w:rFonts w:ascii="Times New Roman" w:hAnsi="Times New Roman"/>
                <w:spacing w:val="0"/>
                <w:kern w:val="0"/>
                <w:sz w:val="24"/>
                <w:szCs w:val="20"/>
              </w:rPr>
              <w:t>вертикали;</w:t>
            </w:r>
          </w:p>
          <w:p>
            <w:pPr>
              <w:pStyle w:val="TableParagraph1"/>
              <w:widowControl w:val="false"/>
              <w:spacing w:lineRule="auto" w:line="240" w:before="0" w:after="0"/>
              <w:ind w:hanging="0" w:left="454" w:right="108"/>
              <w:contextualSpacing/>
              <w:jc w:val="both"/>
              <w:rPr>
                <w:rFonts w:ascii="Times New Roman" w:hAnsi="Times New Roman"/>
                <w:spacing w:val="0"/>
                <w:kern w:val="0"/>
                <w:szCs w:val="20"/>
              </w:rPr>
            </w:pPr>
            <w:r>
              <w:rPr>
                <w:rFonts w:ascii="Times New Roman" w:hAnsi="Times New Roman"/>
                <w:spacing w:val="0"/>
                <w:kern w:val="0"/>
                <w:sz w:val="24"/>
                <w:szCs w:val="20"/>
              </w:rPr>
              <w:t>диагональ экрана: от 13 дюймов для ноутбуков, от 15 дюймов для мониторов и моноблоков,</w:t>
            </w:r>
          </w:p>
          <w:p>
            <w:pPr>
              <w:pStyle w:val="TableParagraph1"/>
              <w:widowControl w:val="false"/>
              <w:spacing w:lineRule="auto" w:line="240" w:before="0" w:after="0"/>
              <w:ind w:hanging="0" w:left="454" w:right="106"/>
              <w:contextualSpacing/>
              <w:jc w:val="both"/>
              <w:rPr>
                <w:rFonts w:ascii="Times New Roman" w:hAnsi="Times New Roman"/>
                <w:spacing w:val="0"/>
                <w:kern w:val="0"/>
                <w:szCs w:val="20"/>
              </w:rPr>
            </w:pPr>
            <w:r>
              <w:rPr>
                <w:rFonts w:ascii="Times New Roman" w:hAnsi="Times New Roman"/>
                <w:spacing w:val="0"/>
                <w:kern w:val="0"/>
                <w:sz w:val="24"/>
                <w:szCs w:val="20"/>
              </w:rPr>
              <w:t>в настройках экрана в операционной системе значение параметра, отвечающего за изменение размера текста, приложений и других элементов, должно быть установлено</w:t>
            </w:r>
          </w:p>
          <w:p>
            <w:pPr>
              <w:pStyle w:val="TableParagraph1"/>
              <w:widowControl w:val="false"/>
              <w:spacing w:lineRule="auto" w:line="240" w:before="0" w:after="0"/>
              <w:ind w:hanging="0" w:left="454" w:right="0"/>
              <w:contextualSpacing/>
              <w:jc w:val="both"/>
              <w:rPr>
                <w:rFonts w:ascii="Times New Roman" w:hAnsi="Times New Roman"/>
                <w:spacing w:val="0"/>
                <w:kern w:val="0"/>
                <w:szCs w:val="20"/>
              </w:rPr>
            </w:pPr>
            <w:r>
              <w:rPr>
                <w:rFonts w:ascii="Times New Roman" w:hAnsi="Times New Roman"/>
                <w:spacing w:val="0"/>
                <w:kern w:val="0"/>
                <w:sz w:val="24"/>
                <w:szCs w:val="20"/>
              </w:rPr>
              <w:t xml:space="preserve">– </w:t>
            </w:r>
            <w:r>
              <w:rPr>
                <w:rFonts w:ascii="Times New Roman" w:hAnsi="Times New Roman"/>
                <w:spacing w:val="0"/>
                <w:kern w:val="0"/>
                <w:sz w:val="24"/>
                <w:szCs w:val="20"/>
              </w:rPr>
              <w:t>100%.</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Внешний интерфейс: USB 2.0 и выше, рекомендуется не ниже USB 3.0, а также не менее двух свободных портов**.</w:t>
            </w:r>
          </w:p>
          <w:p>
            <w:pPr>
              <w:pStyle w:val="TableParagraph1"/>
              <w:widowControl w:val="false"/>
              <w:spacing w:lineRule="auto" w:line="240" w:before="0" w:after="0"/>
              <w:ind w:hanging="0" w:left="102" w:right="3434"/>
              <w:contextualSpacing/>
              <w:jc w:val="left"/>
              <w:rPr>
                <w:rFonts w:ascii="Times New Roman" w:hAnsi="Times New Roman"/>
                <w:spacing w:val="0"/>
                <w:kern w:val="0"/>
                <w:szCs w:val="20"/>
              </w:rPr>
            </w:pPr>
            <w:r>
              <w:rPr>
                <w:rFonts w:ascii="Times New Roman" w:hAnsi="Times New Roman"/>
                <w:spacing w:val="0"/>
                <w:kern w:val="0"/>
                <w:sz w:val="24"/>
                <w:szCs w:val="20"/>
              </w:rPr>
              <w:t>Манипулятор «мышь». Клавиатура.</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spacing w:val="0"/>
                <w:kern w:val="0"/>
                <w:sz w:val="24"/>
                <w:szCs w:val="20"/>
              </w:rPr>
              <w:t>Система бесперебойного питания (рекомендуется): выходная мощность, соответствующая потребляемой мощности подключённого компьютера (ноутбука), время работы при полной нагрузке не менее 15 мин.</w:t>
            </w:r>
          </w:p>
          <w:p>
            <w:pPr>
              <w:pStyle w:val="TableParagraph1"/>
              <w:widowControl w:val="false"/>
              <w:tabs>
                <w:tab w:val="clear" w:pos="708"/>
                <w:tab w:val="left" w:pos="1589" w:leader="none"/>
                <w:tab w:val="left" w:pos="2846" w:leader="none"/>
                <w:tab w:val="left" w:pos="3957" w:leader="none"/>
                <w:tab w:val="left" w:pos="5749" w:leader="none"/>
              </w:tabs>
              <w:spacing w:lineRule="auto" w:line="240" w:before="0" w:after="0"/>
              <w:ind w:hanging="0" w:left="102" w:right="104"/>
              <w:contextualSpacing/>
              <w:jc w:val="left"/>
              <w:rPr>
                <w:rFonts w:ascii="Times New Roman" w:hAnsi="Times New Roman"/>
                <w:spacing w:val="0"/>
                <w:kern w:val="0"/>
                <w:szCs w:val="20"/>
              </w:rPr>
            </w:pPr>
            <w:r>
              <w:rPr>
                <w:rFonts w:ascii="Times New Roman" w:hAnsi="Times New Roman"/>
                <w:b/>
                <w:spacing w:val="0"/>
                <w:kern w:val="0"/>
                <w:sz w:val="24"/>
                <w:szCs w:val="20"/>
              </w:rPr>
              <w:t xml:space="preserve">Локальный лазерный принтер </w:t>
            </w:r>
            <w:r>
              <w:rPr>
                <w:rFonts w:ascii="Times New Roman" w:hAnsi="Times New Roman"/>
                <w:spacing w:val="0"/>
                <w:kern w:val="0"/>
                <w:sz w:val="24"/>
                <w:szCs w:val="20"/>
              </w:rPr>
              <w:t xml:space="preserve">(использование </w:t>
            </w:r>
            <w:r>
              <w:rPr>
                <w:rFonts w:ascii="Times New Roman" w:hAnsi="Times New Roman"/>
                <w:spacing w:val="-1"/>
                <w:kern w:val="0"/>
                <w:sz w:val="24"/>
                <w:szCs w:val="20"/>
              </w:rPr>
              <w:t xml:space="preserve">сетевого </w:t>
            </w:r>
            <w:r>
              <w:rPr>
                <w:rFonts w:ascii="Times New Roman" w:hAnsi="Times New Roman"/>
                <w:spacing w:val="0"/>
                <w:kern w:val="0"/>
                <w:sz w:val="24"/>
                <w:szCs w:val="20"/>
              </w:rPr>
              <w:t>принтера не</w:t>
            </w:r>
            <w:r>
              <w:rPr>
                <w:rFonts w:ascii="Times New Roman" w:hAnsi="Times New Roman"/>
                <w:spacing w:val="-9"/>
                <w:kern w:val="0"/>
                <w:sz w:val="24"/>
                <w:szCs w:val="20"/>
              </w:rPr>
              <w:t xml:space="preserve"> </w:t>
            </w:r>
            <w:r>
              <w:rPr>
                <w:rFonts w:ascii="Times New Roman" w:hAnsi="Times New Roman"/>
                <w:spacing w:val="0"/>
                <w:kern w:val="0"/>
                <w:sz w:val="24"/>
                <w:szCs w:val="20"/>
              </w:rPr>
              <w:t>допускается)</w:t>
            </w:r>
            <w:r>
              <w:rPr>
                <w:rFonts w:ascii="Times New Roman" w:hAnsi="Times New Roman"/>
                <w:b/>
                <w:spacing w:val="0"/>
                <w:kern w:val="0"/>
                <w:sz w:val="24"/>
                <w:szCs w:val="20"/>
              </w:rPr>
              <w:t>:</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Формат</w:t>
            </w:r>
            <w:r>
              <w:rPr>
                <w:rFonts w:ascii="Times New Roman" w:hAnsi="Times New Roman"/>
                <w:spacing w:val="0"/>
                <w:kern w:val="0"/>
                <w:sz w:val="24"/>
                <w:szCs w:val="20"/>
              </w:rPr>
              <w:t>: А4.</w:t>
            </w:r>
          </w:p>
          <w:p>
            <w:pPr>
              <w:pStyle w:val="TableParagraph1"/>
              <w:widowControl w:val="false"/>
              <w:spacing w:lineRule="auto" w:line="240" w:before="0" w:after="0"/>
              <w:ind w:hanging="0" w:left="102" w:right="3434"/>
              <w:contextualSpacing/>
              <w:jc w:val="left"/>
              <w:rPr>
                <w:rFonts w:ascii="Times New Roman" w:hAnsi="Times New Roman"/>
                <w:spacing w:val="0"/>
                <w:kern w:val="0"/>
                <w:szCs w:val="20"/>
              </w:rPr>
            </w:pPr>
            <w:r>
              <w:rPr>
                <w:rFonts w:ascii="Times New Roman" w:hAnsi="Times New Roman"/>
                <w:b/>
                <w:spacing w:val="0"/>
                <w:kern w:val="0"/>
                <w:sz w:val="24"/>
                <w:szCs w:val="20"/>
              </w:rPr>
              <w:t>Тип печати</w:t>
            </w:r>
            <w:r>
              <w:rPr>
                <w:rFonts w:ascii="Times New Roman" w:hAnsi="Times New Roman"/>
                <w:spacing w:val="0"/>
                <w:kern w:val="0"/>
                <w:sz w:val="24"/>
                <w:szCs w:val="20"/>
              </w:rPr>
              <w:t xml:space="preserve">: черно-белая. </w:t>
            </w:r>
            <w:r>
              <w:rPr>
                <w:rFonts w:ascii="Times New Roman" w:hAnsi="Times New Roman"/>
                <w:b/>
                <w:spacing w:val="0"/>
                <w:kern w:val="0"/>
                <w:sz w:val="24"/>
                <w:szCs w:val="20"/>
              </w:rPr>
              <w:t>Технология печати</w:t>
            </w:r>
            <w:r>
              <w:rPr>
                <w:rFonts w:ascii="Times New Roman" w:hAnsi="Times New Roman"/>
                <w:spacing w:val="0"/>
                <w:kern w:val="0"/>
                <w:sz w:val="24"/>
                <w:szCs w:val="20"/>
              </w:rPr>
              <w:t xml:space="preserve">: лазерная. </w:t>
            </w:r>
            <w:r>
              <w:rPr>
                <w:rFonts w:ascii="Times New Roman" w:hAnsi="Times New Roman"/>
                <w:b/>
                <w:spacing w:val="0"/>
                <w:kern w:val="0"/>
                <w:sz w:val="24"/>
                <w:szCs w:val="20"/>
              </w:rPr>
              <w:t>Размещение</w:t>
            </w:r>
            <w:r>
              <w:rPr>
                <w:rFonts w:ascii="Times New Roman" w:hAnsi="Times New Roman"/>
                <w:spacing w:val="0"/>
                <w:kern w:val="0"/>
                <w:sz w:val="24"/>
                <w:szCs w:val="20"/>
              </w:rPr>
              <w:t>: настольный.</w:t>
            </w:r>
          </w:p>
          <w:p>
            <w:pPr>
              <w:pStyle w:val="TableParagraph1"/>
              <w:widowControl w:val="false"/>
              <w:spacing w:lineRule="auto" w:line="240" w:before="0" w:after="0"/>
              <w:ind w:hanging="0" w:left="102" w:right="666"/>
              <w:contextualSpacing/>
              <w:jc w:val="left"/>
              <w:rPr>
                <w:rFonts w:ascii="Times New Roman" w:hAnsi="Times New Roman"/>
                <w:spacing w:val="0"/>
                <w:kern w:val="0"/>
                <w:szCs w:val="20"/>
              </w:rPr>
            </w:pPr>
            <w:r>
              <w:rPr>
                <w:rFonts w:ascii="Times New Roman" w:hAnsi="Times New Roman"/>
                <w:b/>
                <w:spacing w:val="0"/>
                <w:kern w:val="0"/>
                <w:sz w:val="24"/>
                <w:szCs w:val="20"/>
              </w:rPr>
              <w:t xml:space="preserve">Скорость черно-белой печати </w:t>
            </w:r>
            <w:r>
              <w:rPr>
                <w:rFonts w:ascii="Times New Roman" w:hAnsi="Times New Roman"/>
                <w:spacing w:val="0"/>
                <w:kern w:val="0"/>
                <w:sz w:val="24"/>
                <w:szCs w:val="20"/>
              </w:rPr>
              <w:t>(обычный режим, A4): не менее 25</w:t>
            </w:r>
            <w:r>
              <w:rPr>
                <w:rFonts w:ascii="Times New Roman" w:hAnsi="Times New Roman"/>
                <w:spacing w:val="-6"/>
                <w:kern w:val="0"/>
                <w:sz w:val="24"/>
                <w:szCs w:val="20"/>
              </w:rPr>
              <w:t xml:space="preserve"> </w:t>
            </w:r>
            <w:r>
              <w:rPr>
                <w:rFonts w:ascii="Times New Roman" w:hAnsi="Times New Roman"/>
                <w:spacing w:val="0"/>
                <w:kern w:val="0"/>
                <w:sz w:val="24"/>
                <w:szCs w:val="20"/>
              </w:rPr>
              <w:t>стр./мин.</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 xml:space="preserve">Качество черно-белой печати </w:t>
            </w:r>
            <w:r>
              <w:rPr>
                <w:rFonts w:ascii="Times New Roman" w:hAnsi="Times New Roman"/>
                <w:spacing w:val="0"/>
                <w:kern w:val="0"/>
                <w:sz w:val="24"/>
                <w:szCs w:val="20"/>
              </w:rPr>
              <w:t>(режим наилучшего качества): не менее 600 x 600 точек на дюйм.</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Объем лотка для печати</w:t>
            </w:r>
            <w:r>
              <w:rPr>
                <w:rFonts w:ascii="Times New Roman" w:hAnsi="Times New Roman"/>
                <w:spacing w:val="0"/>
                <w:kern w:val="0"/>
                <w:sz w:val="24"/>
                <w:szCs w:val="20"/>
              </w:rPr>
              <w:t>: от 250 листов.</w:t>
            </w:r>
          </w:p>
          <w:p>
            <w:pPr>
              <w:pStyle w:val="TableParagraph1"/>
              <w:widowControl w:val="false"/>
              <w:spacing w:lineRule="auto" w:line="240" w:before="0" w:after="0"/>
              <w:ind w:hanging="0" w:left="102" w:right="372"/>
              <w:contextualSpacing/>
              <w:jc w:val="left"/>
              <w:rPr>
                <w:rFonts w:ascii="Times New Roman" w:hAnsi="Times New Roman"/>
                <w:spacing w:val="0"/>
                <w:kern w:val="0"/>
                <w:szCs w:val="20"/>
              </w:rPr>
            </w:pPr>
            <w:r>
              <w:rPr>
                <w:rFonts w:ascii="Times New Roman" w:hAnsi="Times New Roman"/>
                <w:b/>
                <w:spacing w:val="0"/>
                <w:kern w:val="0"/>
                <w:sz w:val="24"/>
                <w:szCs w:val="20"/>
              </w:rPr>
              <w:t xml:space="preserve">Локальный TWAIN–совместимый сканер </w:t>
            </w:r>
            <w:r>
              <w:rPr>
                <w:rFonts w:ascii="Times New Roman" w:hAnsi="Times New Roman"/>
                <w:spacing w:val="0"/>
                <w:kern w:val="0"/>
                <w:sz w:val="24"/>
                <w:szCs w:val="20"/>
              </w:rPr>
              <w:t>(использование сетевого сканера не допускается)</w:t>
            </w:r>
            <w:r>
              <w:rPr>
                <w:rFonts w:ascii="Times New Roman" w:hAnsi="Times New Roman"/>
                <w:b/>
                <w:spacing w:val="0"/>
                <w:kern w:val="0"/>
                <w:sz w:val="24"/>
                <w:szCs w:val="20"/>
              </w:rPr>
              <w:t>:</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Формат бумаги</w:t>
            </w:r>
            <w:r>
              <w:rPr>
                <w:rFonts w:ascii="Times New Roman" w:hAnsi="Times New Roman"/>
                <w:spacing w:val="0"/>
                <w:kern w:val="0"/>
                <w:sz w:val="24"/>
                <w:szCs w:val="20"/>
              </w:rPr>
              <w:t>: не менее А4.</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Разрешение сканирования</w:t>
            </w:r>
            <w:r>
              <w:rPr>
                <w:rFonts w:ascii="Times New Roman" w:hAnsi="Times New Roman"/>
                <w:spacing w:val="0"/>
                <w:kern w:val="0"/>
                <w:sz w:val="24"/>
                <w:szCs w:val="20"/>
              </w:rPr>
              <w:t>: поддержка режима 300 dpi.</w:t>
            </w:r>
          </w:p>
          <w:p>
            <w:pPr>
              <w:pStyle w:val="TableParagraph1"/>
              <w:widowControl w:val="false"/>
              <w:spacing w:lineRule="auto" w:line="240" w:before="0" w:after="0"/>
              <w:ind w:hanging="0" w:left="102" w:right="684"/>
              <w:contextualSpacing/>
              <w:jc w:val="left"/>
              <w:rPr>
                <w:rFonts w:ascii="Times New Roman" w:hAnsi="Times New Roman"/>
                <w:spacing w:val="0"/>
                <w:kern w:val="0"/>
                <w:szCs w:val="20"/>
              </w:rPr>
            </w:pPr>
            <w:r>
              <w:rPr>
                <w:rFonts w:ascii="Times New Roman" w:hAnsi="Times New Roman"/>
                <w:b/>
                <w:spacing w:val="0"/>
                <w:kern w:val="0"/>
                <w:sz w:val="24"/>
                <w:szCs w:val="20"/>
              </w:rPr>
              <w:t>Цветность сканирования</w:t>
            </w:r>
            <w:r>
              <w:rPr>
                <w:rFonts w:ascii="Times New Roman" w:hAnsi="Times New Roman"/>
                <w:spacing w:val="0"/>
                <w:kern w:val="0"/>
                <w:sz w:val="24"/>
                <w:szCs w:val="20"/>
              </w:rPr>
              <w:t xml:space="preserve">: черно-белый, оттенки серого. </w:t>
            </w:r>
            <w:r>
              <w:rPr>
                <w:rFonts w:ascii="Times New Roman" w:hAnsi="Times New Roman"/>
                <w:b/>
                <w:spacing w:val="0"/>
                <w:kern w:val="0"/>
                <w:sz w:val="24"/>
                <w:szCs w:val="20"/>
              </w:rPr>
              <w:t>Тип сканера</w:t>
            </w:r>
            <w:r>
              <w:rPr>
                <w:rFonts w:ascii="Times New Roman" w:hAnsi="Times New Roman"/>
                <w:spacing w:val="0"/>
                <w:kern w:val="0"/>
                <w:sz w:val="24"/>
                <w:szCs w:val="20"/>
              </w:rPr>
              <w:t>: поточный, односторонний, с поддержкой режима сканирования ADF: автоматическая подача документов.</w:t>
            </w:r>
          </w:p>
          <w:p>
            <w:pPr>
              <w:pStyle w:val="TableParagraph1"/>
              <w:widowControl w:val="false"/>
              <w:spacing w:lineRule="auto" w:line="240" w:before="0" w:after="0"/>
              <w:ind w:hanging="0" w:left="102" w:right="104"/>
              <w:contextualSpacing/>
              <w:jc w:val="left"/>
              <w:rPr>
                <w:rFonts w:ascii="Times New Roman" w:hAnsi="Times New Roman"/>
                <w:spacing w:val="0"/>
                <w:kern w:val="0"/>
                <w:szCs w:val="20"/>
              </w:rPr>
            </w:pPr>
            <w:r>
              <w:rPr>
                <w:rFonts w:ascii="Times New Roman" w:hAnsi="Times New Roman"/>
                <w:i/>
                <w:spacing w:val="0"/>
                <w:kern w:val="0"/>
                <w:sz w:val="24"/>
                <w:szCs w:val="20"/>
              </w:rPr>
              <w:t>Допускается использование МФУ, технические характеристики которого удовлетворяют требованиям к принтеру и сканеру.</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Операционные системы*</w:t>
            </w:r>
            <w:r>
              <w:rPr>
                <w:rFonts w:ascii="Times New Roman" w:hAnsi="Times New Roman"/>
                <w:spacing w:val="0"/>
                <w:kern w:val="0"/>
                <w:sz w:val="24"/>
                <w:szCs w:val="20"/>
              </w:rPr>
              <w:t>: Windows 8.1/10 (сборка 1607 и выше), платформы: ia32 (x86), x64.</w:t>
            </w:r>
          </w:p>
          <w:p>
            <w:pPr>
              <w:pStyle w:val="TableParagraph1"/>
              <w:widowControl w:val="false"/>
              <w:spacing w:lineRule="auto" w:line="240" w:before="0" w:after="0"/>
              <w:ind w:hanging="0" w:left="102" w:right="100"/>
              <w:contextualSpacing/>
              <w:jc w:val="both"/>
              <w:rPr>
                <w:rFonts w:ascii="Times New Roman" w:hAnsi="Times New Roman"/>
                <w:spacing w:val="0"/>
                <w:kern w:val="0"/>
                <w:szCs w:val="20"/>
              </w:rPr>
            </w:pPr>
            <w:r>
              <w:rPr>
                <w:rFonts w:ascii="Times New Roman" w:hAnsi="Times New Roman"/>
                <w:b/>
                <w:spacing w:val="0"/>
                <w:kern w:val="0"/>
                <w:sz w:val="24"/>
                <w:szCs w:val="20"/>
              </w:rPr>
              <w:t xml:space="preserve">Специальное ПО: </w:t>
            </w:r>
            <w:r>
              <w:rPr>
                <w:rFonts w:ascii="Times New Roman" w:hAnsi="Times New Roman"/>
                <w:spacing w:val="0"/>
                <w:kern w:val="0"/>
                <w:sz w:val="24"/>
                <w:szCs w:val="20"/>
              </w:rPr>
              <w:t>Средство антивирусной защиты информации, имеющее действующий на весь период ЕГЭ сертификат ФСТЭК России.</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i/>
                <w:spacing w:val="0"/>
                <w:kern w:val="0"/>
                <w:sz w:val="24"/>
                <w:szCs w:val="20"/>
              </w:rPr>
              <w:t>Установка и запуск станции должны выполняться под учетной записью с правами локального администратора</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Личный кабинет ППЭ ЕГЭ***</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1 + не менее 1 резервного компьютера</w:t>
            </w:r>
          </w:p>
        </w:tc>
        <w:tc>
          <w:tcPr>
            <w:tcW w:w="6947" w:type="dxa"/>
            <w:tcBorders/>
          </w:tcPr>
          <w:p>
            <w:pPr>
              <w:pStyle w:val="TableParagraph1"/>
              <w:widowControl w:val="false"/>
              <w:spacing w:lineRule="auto" w:line="240" w:before="0" w:after="0"/>
              <w:ind w:hanging="0" w:left="102" w:right="101"/>
              <w:contextualSpacing/>
              <w:jc w:val="both"/>
              <w:rPr>
                <w:rFonts w:ascii="Times New Roman" w:hAnsi="Times New Roman"/>
                <w:spacing w:val="0"/>
                <w:kern w:val="0"/>
                <w:szCs w:val="20"/>
              </w:rPr>
            </w:pPr>
            <w:r>
              <w:rPr>
                <w:rFonts w:ascii="Times New Roman" w:hAnsi="Times New Roman"/>
                <w:b/>
                <w:spacing w:val="0"/>
                <w:kern w:val="0"/>
                <w:sz w:val="24"/>
                <w:szCs w:val="20"/>
              </w:rPr>
              <w:t>Процессор, оперативная память, свободное дисковое пространство</w:t>
            </w:r>
            <w:r>
              <w:rPr>
                <w:rFonts w:ascii="Times New Roman" w:hAnsi="Times New Roman"/>
                <w:spacing w:val="0"/>
                <w:kern w:val="0"/>
                <w:sz w:val="24"/>
                <w:szCs w:val="20"/>
              </w:rPr>
              <w:t>: в соответствии с требованиями используемой операционной системы и браузера</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Прочее оборудование:</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Видеокарта и монитор:</w:t>
            </w:r>
          </w:p>
          <w:p>
            <w:pPr>
              <w:pStyle w:val="TableParagraph1"/>
              <w:widowControl w:val="false"/>
              <w:spacing w:lineRule="auto" w:line="240" w:before="0" w:after="0"/>
              <w:ind w:hanging="0" w:left="422" w:right="0"/>
              <w:contextualSpacing/>
              <w:jc w:val="left"/>
              <w:rPr>
                <w:rFonts w:ascii="Times New Roman" w:hAnsi="Times New Roman"/>
                <w:spacing w:val="0"/>
                <w:kern w:val="0"/>
                <w:szCs w:val="20"/>
              </w:rPr>
            </w:pPr>
            <w:r>
              <w:rPr>
                <w:rFonts w:ascii="Times New Roman" w:hAnsi="Times New Roman"/>
                <w:spacing w:val="0"/>
                <w:kern w:val="0"/>
                <w:sz w:val="24"/>
                <w:szCs w:val="20"/>
              </w:rPr>
              <w:t>разрешение не менее 1366 по горизонтали, не менее 768 по вертикали;</w:t>
            </w:r>
          </w:p>
          <w:p>
            <w:pPr>
              <w:pStyle w:val="TableParagraph1"/>
              <w:widowControl w:val="false"/>
              <w:spacing w:lineRule="auto" w:line="240" w:before="0" w:after="0"/>
              <w:ind w:hanging="0" w:left="422" w:right="0"/>
              <w:contextualSpacing/>
              <w:jc w:val="left"/>
              <w:rPr>
                <w:rFonts w:ascii="Times New Roman" w:hAnsi="Times New Roman"/>
                <w:spacing w:val="0"/>
                <w:kern w:val="0"/>
                <w:szCs w:val="20"/>
              </w:rPr>
            </w:pPr>
            <w:r>
              <w:rPr>
                <w:rFonts w:ascii="Times New Roman" w:hAnsi="Times New Roman"/>
                <w:spacing w:val="0"/>
                <w:kern w:val="0"/>
                <w:sz w:val="24"/>
                <w:szCs w:val="20"/>
              </w:rPr>
              <w:t>Внешний интерфейс: USB 2.0 и выше, рекомендуется не ниже USB 3.0, а также не менее двух свободных портов.</w:t>
            </w:r>
          </w:p>
          <w:p>
            <w:pPr>
              <w:pStyle w:val="TableParagraph1"/>
              <w:widowControl w:val="false"/>
              <w:spacing w:lineRule="auto" w:line="240" w:before="0" w:after="0"/>
              <w:ind w:hanging="0" w:left="422" w:right="3434"/>
              <w:contextualSpacing/>
              <w:jc w:val="left"/>
              <w:rPr>
                <w:rFonts w:ascii="Times New Roman" w:hAnsi="Times New Roman"/>
                <w:spacing w:val="0"/>
                <w:kern w:val="0"/>
                <w:szCs w:val="20"/>
              </w:rPr>
            </w:pPr>
            <w:r>
              <w:rPr>
                <w:rFonts w:ascii="Times New Roman" w:hAnsi="Times New Roman"/>
                <w:spacing w:val="0"/>
                <w:kern w:val="0"/>
                <w:sz w:val="24"/>
                <w:szCs w:val="20"/>
              </w:rPr>
              <w:t>Манипулятор «мышь». Клавиатура.</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Интернет:</w:t>
            </w:r>
          </w:p>
          <w:p>
            <w:pPr>
              <w:pStyle w:val="TableParagraph1"/>
              <w:widowControl w:val="false"/>
              <w:spacing w:lineRule="auto" w:line="240" w:before="0" w:after="0"/>
              <w:ind w:hanging="0" w:left="102" w:right="100"/>
              <w:contextualSpacing/>
              <w:jc w:val="both"/>
              <w:rPr>
                <w:rFonts w:ascii="Times New Roman" w:hAnsi="Times New Roman"/>
                <w:spacing w:val="0"/>
                <w:kern w:val="0"/>
                <w:szCs w:val="20"/>
              </w:rPr>
            </w:pPr>
            <w:r>
              <w:rPr>
                <w:rFonts w:ascii="Times New Roman" w:hAnsi="Times New Roman"/>
                <w:spacing w:val="0"/>
                <w:kern w:val="0"/>
                <w:sz w:val="24"/>
                <w:szCs w:val="20"/>
              </w:rPr>
              <w:t>Наличие стабильного стационарного канала связи с выходом в сеть</w:t>
            </w:r>
            <w:r>
              <w:rPr>
                <w:rFonts w:ascii="Times New Roman" w:hAnsi="Times New Roman"/>
                <w:spacing w:val="-8"/>
                <w:kern w:val="0"/>
                <w:sz w:val="24"/>
                <w:szCs w:val="20"/>
              </w:rPr>
              <w:t xml:space="preserve"> </w:t>
            </w:r>
            <w:r>
              <w:rPr>
                <w:rFonts w:ascii="Times New Roman" w:hAnsi="Times New Roman"/>
                <w:spacing w:val="0"/>
                <w:kern w:val="0"/>
                <w:sz w:val="24"/>
                <w:szCs w:val="20"/>
              </w:rPr>
              <w:t>«Интернет».</w:t>
            </w:r>
          </w:p>
          <w:p>
            <w:pPr>
              <w:pStyle w:val="TableParagraph1"/>
              <w:widowControl w:val="false"/>
              <w:spacing w:lineRule="auto" w:line="240" w:before="0" w:after="0"/>
              <w:ind w:hanging="0" w:left="102" w:right="96"/>
              <w:contextualSpacing/>
              <w:jc w:val="both"/>
              <w:rPr>
                <w:rFonts w:ascii="Times New Roman" w:hAnsi="Times New Roman"/>
                <w:spacing w:val="0"/>
                <w:kern w:val="0"/>
                <w:szCs w:val="20"/>
              </w:rPr>
            </w:pPr>
            <w:r>
              <w:rPr>
                <w:rFonts w:ascii="Times New Roman" w:hAnsi="Times New Roman"/>
                <w:spacing w:val="0"/>
                <w:kern w:val="0"/>
                <w:sz w:val="24"/>
                <w:szCs w:val="20"/>
              </w:rPr>
              <w:t>Наличие резервного канала связи с выходом в сеть «Интернет» (USB-модем/альтернативный канал доступа в сеть</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«Интернет»).</w:t>
            </w:r>
          </w:p>
          <w:p>
            <w:pPr>
              <w:pStyle w:val="TableParagraph1"/>
              <w:widowControl w:val="false"/>
              <w:spacing w:lineRule="auto" w:line="240" w:before="0" w:after="0"/>
              <w:ind w:hanging="0" w:left="102" w:right="102"/>
              <w:contextualSpacing/>
              <w:jc w:val="both"/>
              <w:rPr>
                <w:rFonts w:ascii="Times New Roman" w:hAnsi="Times New Roman"/>
                <w:spacing w:val="0"/>
                <w:kern w:val="0"/>
                <w:szCs w:val="20"/>
              </w:rPr>
            </w:pPr>
            <w:r>
              <w:rPr>
                <w:rFonts w:ascii="Times New Roman" w:hAnsi="Times New Roman"/>
                <w:b/>
                <w:spacing w:val="0"/>
                <w:kern w:val="0"/>
                <w:sz w:val="24"/>
                <w:szCs w:val="20"/>
              </w:rPr>
              <w:t xml:space="preserve">Специальное ПО: </w:t>
            </w:r>
            <w:r>
              <w:rPr>
                <w:rFonts w:ascii="Times New Roman" w:hAnsi="Times New Roman"/>
                <w:spacing w:val="0"/>
                <w:kern w:val="0"/>
                <w:sz w:val="24"/>
                <w:szCs w:val="20"/>
              </w:rPr>
              <w:t>Средство антивирусной защиты информации, имеющее действующий на весь период ЕГЭ сертификат ФСТЭК России.</w:t>
            </w:r>
          </w:p>
          <w:p>
            <w:pPr>
              <w:pStyle w:val="TableParagraph1"/>
              <w:widowControl w:val="false"/>
              <w:tabs>
                <w:tab w:val="clear" w:pos="708"/>
                <w:tab w:val="left" w:pos="1276" w:leader="none"/>
                <w:tab w:val="left" w:pos="2280" w:leader="none"/>
                <w:tab w:val="left" w:pos="3798" w:leader="none"/>
                <w:tab w:val="left" w:pos="4244" w:leader="none"/>
              </w:tabs>
              <w:spacing w:lineRule="auto" w:line="240" w:before="0" w:after="0"/>
              <w:ind w:hanging="0" w:left="102" w:right="102"/>
              <w:contextualSpacing/>
              <w:jc w:val="left"/>
              <w:rPr>
                <w:rFonts w:ascii="Times New Roman" w:hAnsi="Times New Roman"/>
                <w:spacing w:val="0"/>
                <w:kern w:val="0"/>
                <w:szCs w:val="20"/>
              </w:rPr>
            </w:pPr>
            <w:r>
              <w:rPr>
                <w:rFonts w:ascii="Times New Roman" w:hAnsi="Times New Roman"/>
                <w:spacing w:val="0"/>
                <w:kern w:val="0"/>
                <w:sz w:val="24"/>
                <w:szCs w:val="20"/>
              </w:rPr>
              <w:t xml:space="preserve">Средство защиты информации от </w:t>
            </w:r>
            <w:r>
              <w:rPr>
                <w:rFonts w:ascii="Times New Roman" w:hAnsi="Times New Roman"/>
                <w:spacing w:val="-1"/>
                <w:kern w:val="0"/>
                <w:sz w:val="24"/>
                <w:szCs w:val="20"/>
              </w:rPr>
              <w:t xml:space="preserve">несанкционированного </w:t>
            </w:r>
            <w:r>
              <w:rPr>
                <w:rFonts w:ascii="Times New Roman" w:hAnsi="Times New Roman"/>
                <w:spacing w:val="0"/>
                <w:kern w:val="0"/>
                <w:sz w:val="24"/>
                <w:szCs w:val="20"/>
              </w:rPr>
              <w:t xml:space="preserve">доступа, имеющее действующий сертификат ФСТЭК России. </w:t>
            </w:r>
            <w:r>
              <w:rPr>
                <w:rFonts w:ascii="Times New Roman" w:hAnsi="Times New Roman"/>
                <w:b/>
                <w:spacing w:val="0"/>
                <w:kern w:val="0"/>
                <w:sz w:val="24"/>
                <w:szCs w:val="20"/>
              </w:rPr>
              <w:t>Дополнительное ПО:</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Google Chrome (версия 103 и выше),</w:t>
            </w:r>
          </w:p>
          <w:p>
            <w:pPr>
              <w:pStyle w:val="TableParagraph1"/>
              <w:widowControl w:val="false"/>
              <w:spacing w:lineRule="auto" w:line="240" w:before="0" w:after="0"/>
              <w:ind w:hanging="0" w:left="102" w:right="1891"/>
              <w:contextualSpacing/>
              <w:jc w:val="left"/>
              <w:rPr>
                <w:rFonts w:ascii="Times New Roman" w:hAnsi="Times New Roman"/>
                <w:spacing w:val="0"/>
                <w:kern w:val="0"/>
                <w:szCs w:val="20"/>
              </w:rPr>
            </w:pPr>
            <w:r>
              <w:rPr>
                <w:rFonts w:ascii="Times New Roman" w:hAnsi="Times New Roman"/>
                <w:spacing w:val="0"/>
                <w:kern w:val="0"/>
                <w:sz w:val="24"/>
                <w:szCs w:val="20"/>
              </w:rPr>
              <w:t>«Яндекс. Браузер» (версия 22 и выше) Рутокен Плагин</w:t>
            </w:r>
          </w:p>
          <w:p>
            <w:pPr>
              <w:pStyle w:val="TableParagraph1"/>
              <w:widowControl w:val="false"/>
              <w:spacing w:lineRule="auto" w:line="240" w:before="0" w:after="0"/>
              <w:ind w:hanging="0" w:left="102" w:right="101"/>
              <w:contextualSpacing/>
              <w:jc w:val="both"/>
              <w:rPr>
                <w:rFonts w:ascii="Times New Roman" w:hAnsi="Times New Roman"/>
                <w:spacing w:val="0"/>
                <w:kern w:val="0"/>
                <w:szCs w:val="20"/>
              </w:rPr>
            </w:pPr>
            <w:r>
              <w:rPr>
                <w:rFonts w:ascii="Times New Roman" w:hAnsi="Times New Roman"/>
                <w:b/>
                <w:spacing w:val="0"/>
                <w:kern w:val="0"/>
                <w:sz w:val="24"/>
                <w:szCs w:val="20"/>
              </w:rPr>
              <w:t xml:space="preserve">Операционные системы: </w:t>
            </w:r>
            <w:r>
              <w:rPr>
                <w:rFonts w:ascii="Times New Roman" w:hAnsi="Times New Roman"/>
                <w:spacing w:val="0"/>
                <w:kern w:val="0"/>
                <w:sz w:val="24"/>
                <w:szCs w:val="20"/>
              </w:rPr>
              <w:t>операционные системы, на которых обеспечена поддержка Рутокен Плагин в допустимых браузерах</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 xml:space="preserve">Для ППЭ, использующих ЗСПД ГИА: </w:t>
            </w:r>
            <w:r>
              <w:rPr>
                <w:rFonts w:ascii="Times New Roman" w:hAnsi="Times New Roman"/>
                <w:spacing w:val="0"/>
                <w:kern w:val="0"/>
                <w:sz w:val="24"/>
                <w:szCs w:val="20"/>
              </w:rPr>
              <w:t>средство криптографической защиты информации ViPNet Client, совместимое с ЗСПД ГИА и имеющее действующий сертификат ФСБ России</w:t>
            </w:r>
          </w:p>
        </w:tc>
      </w:tr>
      <w:tr>
        <w:trPr/>
        <w:tc>
          <w:tcPr>
            <w:tcW w:w="1696" w:type="dxa"/>
            <w:tcBorders/>
          </w:tcPr>
          <w:p>
            <w:pPr>
              <w:pStyle w:val="111"/>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spacing w:val="0"/>
                <w:kern w:val="0"/>
                <w:sz w:val="24"/>
                <w:szCs w:val="20"/>
              </w:rPr>
              <w:t>Станция Штаба ППЭ</w:t>
            </w:r>
          </w:p>
        </w:tc>
        <w:tc>
          <w:tcPr>
            <w:tcW w:w="1700" w:type="dxa"/>
            <w:tcBorders/>
          </w:tcPr>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1-2 + не менее чем 1 резервная станция Штаба ППЭ</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w:t>
            </w:r>
          </w:p>
        </w:tc>
        <w:tc>
          <w:tcPr>
            <w:tcW w:w="6947" w:type="dxa"/>
            <w:tcBorders/>
          </w:tcPr>
          <w:p>
            <w:pPr>
              <w:pStyle w:val="TableParagraph1"/>
              <w:widowControl w:val="false"/>
              <w:spacing w:lineRule="auto" w:line="240" w:before="0" w:after="0"/>
              <w:ind w:hanging="0" w:left="102" w:right="4333"/>
              <w:contextualSpacing/>
              <w:jc w:val="left"/>
              <w:rPr>
                <w:rFonts w:ascii="Times New Roman" w:hAnsi="Times New Roman"/>
                <w:spacing w:val="0"/>
                <w:kern w:val="0"/>
                <w:szCs w:val="20"/>
              </w:rPr>
            </w:pPr>
            <w:r>
              <w:rPr>
                <w:rFonts w:ascii="Times New Roman" w:hAnsi="Times New Roman"/>
                <w:b/>
                <w:spacing w:val="0"/>
                <w:kern w:val="0"/>
                <w:sz w:val="24"/>
                <w:szCs w:val="20"/>
              </w:rPr>
              <w:t>Процессор</w:t>
            </w:r>
            <w:r>
              <w:rPr>
                <w:rFonts w:ascii="Times New Roman" w:hAnsi="Times New Roman"/>
                <w:spacing w:val="0"/>
                <w:kern w:val="0"/>
                <w:sz w:val="24"/>
                <w:szCs w:val="20"/>
              </w:rPr>
              <w:t>: количество ядер: от 4;</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частота: от 2,0 ГГц.</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Оперативная память:</w:t>
            </w:r>
          </w:p>
          <w:p>
            <w:pPr>
              <w:pStyle w:val="TableParagraph1"/>
              <w:widowControl w:val="false"/>
              <w:spacing w:lineRule="auto" w:line="240" w:before="0" w:after="0"/>
              <w:ind w:hanging="320" w:left="422" w:right="4773"/>
              <w:contextualSpacing/>
              <w:jc w:val="left"/>
              <w:rPr>
                <w:rFonts w:ascii="Times New Roman" w:hAnsi="Times New Roman"/>
                <w:spacing w:val="0"/>
                <w:kern w:val="0"/>
                <w:szCs w:val="20"/>
              </w:rPr>
            </w:pPr>
            <w:r>
              <w:rPr>
                <w:rFonts w:ascii="Times New Roman" w:hAnsi="Times New Roman"/>
                <w:spacing w:val="0"/>
                <w:kern w:val="0"/>
                <w:sz w:val="24"/>
                <w:szCs w:val="20"/>
              </w:rPr>
              <w:t>до 50 участников: от 4 Гбайт;</w:t>
            </w:r>
          </w:p>
          <w:p>
            <w:pPr>
              <w:pStyle w:val="TableParagraph1"/>
              <w:widowControl w:val="false"/>
              <w:spacing w:lineRule="auto" w:line="240" w:before="0" w:after="0"/>
              <w:ind w:hanging="0" w:left="422" w:right="103"/>
              <w:contextualSpacing/>
              <w:jc w:val="both"/>
              <w:rPr>
                <w:rFonts w:ascii="Times New Roman" w:hAnsi="Times New Roman"/>
                <w:spacing w:val="0"/>
                <w:kern w:val="0"/>
                <w:szCs w:val="20"/>
              </w:rPr>
            </w:pPr>
            <w:r>
              <w:rPr>
                <w:rFonts w:ascii="Times New Roman" w:hAnsi="Times New Roman"/>
                <w:spacing w:val="0"/>
                <w:kern w:val="0"/>
                <w:sz w:val="24"/>
                <w:szCs w:val="20"/>
              </w:rPr>
              <w:t>доступная (свободная) память для работы ПО (неиспользуемая прочими приложениями) - не менее 2 Гбайт;</w:t>
            </w:r>
          </w:p>
          <w:p>
            <w:pPr>
              <w:pStyle w:val="TableParagraph1"/>
              <w:widowControl w:val="false"/>
              <w:spacing w:lineRule="auto" w:line="240" w:before="0" w:after="0"/>
              <w:ind w:hanging="320" w:left="422" w:right="4343"/>
              <w:contextualSpacing/>
              <w:jc w:val="left"/>
              <w:rPr>
                <w:rFonts w:ascii="Times New Roman" w:hAnsi="Times New Roman"/>
                <w:spacing w:val="0"/>
                <w:kern w:val="0"/>
                <w:szCs w:val="20"/>
              </w:rPr>
            </w:pPr>
            <w:r>
              <w:rPr>
                <w:rFonts w:ascii="Times New Roman" w:hAnsi="Times New Roman"/>
                <w:spacing w:val="0"/>
                <w:kern w:val="0"/>
                <w:sz w:val="24"/>
                <w:szCs w:val="20"/>
              </w:rPr>
              <w:t>свыше 50 участников: от 8 Гбайт;</w:t>
            </w:r>
          </w:p>
          <w:p>
            <w:pPr>
              <w:pStyle w:val="TableParagraph1"/>
              <w:widowControl w:val="false"/>
              <w:spacing w:lineRule="auto" w:line="240" w:before="0" w:after="0"/>
              <w:ind w:hanging="0" w:left="422" w:right="103"/>
              <w:contextualSpacing/>
              <w:jc w:val="both"/>
              <w:rPr>
                <w:rFonts w:ascii="Times New Roman" w:hAnsi="Times New Roman"/>
                <w:spacing w:val="0"/>
                <w:kern w:val="0"/>
                <w:szCs w:val="20"/>
              </w:rPr>
            </w:pPr>
            <w:r>
              <w:rPr>
                <w:rFonts w:ascii="Times New Roman" w:hAnsi="Times New Roman"/>
                <w:spacing w:val="0"/>
                <w:kern w:val="0"/>
                <w:sz w:val="24"/>
                <w:szCs w:val="20"/>
              </w:rPr>
              <w:t>доступная (свободная) память для работы ПО (неиспользуемая прочими приложениями) - не менее 4 Гбайт.</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Свободное дисковое пространство</w:t>
            </w:r>
            <w:r>
              <w:rPr>
                <w:rFonts w:ascii="Times New Roman" w:hAnsi="Times New Roman"/>
                <w:spacing w:val="0"/>
                <w:kern w:val="0"/>
                <w:sz w:val="24"/>
                <w:szCs w:val="20"/>
              </w:rPr>
              <w:t>:</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от 100 Гбайт на начало экзаменационного периода;</w:t>
            </w:r>
          </w:p>
          <w:p>
            <w:pPr>
              <w:pStyle w:val="TableParagraph1"/>
              <w:widowControl w:val="false"/>
              <w:spacing w:lineRule="auto" w:line="240" w:before="0" w:after="0"/>
              <w:ind w:hanging="0" w:left="102" w:right="105"/>
              <w:contextualSpacing/>
              <w:jc w:val="both"/>
              <w:rPr>
                <w:rFonts w:ascii="Times New Roman" w:hAnsi="Times New Roman"/>
                <w:spacing w:val="0"/>
                <w:kern w:val="0"/>
                <w:szCs w:val="20"/>
              </w:rPr>
            </w:pPr>
            <w:r>
              <w:rPr>
                <w:rFonts w:ascii="Times New Roman" w:hAnsi="Times New Roman"/>
                <w:spacing w:val="0"/>
                <w:kern w:val="0"/>
                <w:sz w:val="24"/>
                <w:szCs w:val="20"/>
              </w:rPr>
              <w:t>не менее 20% от общего объема жесткого диска в течение экзаменационного периода.</w:t>
            </w:r>
          </w:p>
          <w:p>
            <w:pPr>
              <w:pStyle w:val="TableParagraph1"/>
              <w:widowControl w:val="false"/>
              <w:spacing w:lineRule="auto" w:line="240" w:before="0" w:after="0"/>
              <w:ind w:hanging="0" w:left="102" w:right="4204"/>
              <w:contextualSpacing/>
              <w:jc w:val="left"/>
              <w:rPr>
                <w:rFonts w:ascii="Times New Roman" w:hAnsi="Times New Roman"/>
                <w:spacing w:val="0"/>
                <w:kern w:val="0"/>
                <w:szCs w:val="20"/>
              </w:rPr>
            </w:pPr>
            <w:r>
              <w:rPr>
                <w:rFonts w:ascii="Times New Roman" w:hAnsi="Times New Roman"/>
                <w:b/>
                <w:spacing w:val="0"/>
                <w:kern w:val="0"/>
                <w:sz w:val="24"/>
                <w:szCs w:val="20"/>
              </w:rPr>
              <w:t>Прочее оборудование</w:t>
            </w:r>
            <w:r>
              <w:rPr>
                <w:rFonts w:ascii="Times New Roman" w:hAnsi="Times New Roman"/>
                <w:spacing w:val="0"/>
                <w:kern w:val="0"/>
                <w:sz w:val="24"/>
                <w:szCs w:val="20"/>
              </w:rPr>
              <w:t>: Видеокарта и монитор:</w:t>
            </w:r>
          </w:p>
          <w:p>
            <w:pPr>
              <w:pStyle w:val="TableParagraph1"/>
              <w:widowControl w:val="false"/>
              <w:spacing w:lineRule="auto" w:line="240" w:before="0" w:after="0"/>
              <w:ind w:hanging="0" w:left="422" w:right="103"/>
              <w:contextualSpacing/>
              <w:jc w:val="both"/>
              <w:rPr>
                <w:rFonts w:ascii="Times New Roman" w:hAnsi="Times New Roman"/>
                <w:spacing w:val="0"/>
                <w:kern w:val="0"/>
                <w:szCs w:val="20"/>
              </w:rPr>
            </w:pPr>
            <w:r>
              <w:rPr>
                <w:rFonts w:ascii="Times New Roman" w:hAnsi="Times New Roman"/>
                <w:spacing w:val="0"/>
                <w:kern w:val="0"/>
                <w:sz w:val="24"/>
                <w:szCs w:val="20"/>
              </w:rPr>
              <w:t>разрешение не менее 1280 по горизонтали, не менее 1024 по вертикали;</w:t>
            </w:r>
          </w:p>
          <w:p>
            <w:pPr>
              <w:pStyle w:val="TableParagraph1"/>
              <w:widowControl w:val="false"/>
              <w:spacing w:lineRule="auto" w:line="240" w:before="0" w:after="0"/>
              <w:ind w:hanging="0" w:left="422" w:right="109"/>
              <w:contextualSpacing/>
              <w:jc w:val="both"/>
              <w:rPr>
                <w:rFonts w:ascii="Times New Roman" w:hAnsi="Times New Roman"/>
                <w:spacing w:val="0"/>
                <w:kern w:val="0"/>
                <w:szCs w:val="20"/>
              </w:rPr>
            </w:pPr>
            <w:r>
              <w:rPr>
                <w:rFonts w:ascii="Times New Roman" w:hAnsi="Times New Roman"/>
                <w:spacing w:val="0"/>
                <w:kern w:val="0"/>
                <w:sz w:val="24"/>
                <w:szCs w:val="20"/>
              </w:rPr>
              <w:t>диагональ экрана: от 13 дюймов для ноутбуков, от 15 дюймов мониторов и</w:t>
            </w:r>
            <w:r>
              <w:rPr>
                <w:rFonts w:ascii="Times New Roman" w:hAnsi="Times New Roman"/>
                <w:spacing w:val="-6"/>
                <w:kern w:val="0"/>
                <w:sz w:val="24"/>
                <w:szCs w:val="20"/>
              </w:rPr>
              <w:t xml:space="preserve"> </w:t>
            </w:r>
            <w:r>
              <w:rPr>
                <w:rFonts w:ascii="Times New Roman" w:hAnsi="Times New Roman"/>
                <w:spacing w:val="0"/>
                <w:kern w:val="0"/>
                <w:sz w:val="24"/>
                <w:szCs w:val="20"/>
              </w:rPr>
              <w:t>моноблоков,</w:t>
            </w:r>
          </w:p>
          <w:p>
            <w:pPr>
              <w:pStyle w:val="TableParagraph1"/>
              <w:widowControl w:val="false"/>
              <w:spacing w:lineRule="auto" w:line="240" w:before="0" w:after="0"/>
              <w:ind w:hanging="0" w:left="422" w:right="108"/>
              <w:contextualSpacing/>
              <w:jc w:val="both"/>
              <w:rPr>
                <w:rFonts w:ascii="Times New Roman" w:hAnsi="Times New Roman"/>
                <w:spacing w:val="0"/>
                <w:kern w:val="0"/>
                <w:szCs w:val="20"/>
              </w:rPr>
            </w:pPr>
            <w:r>
              <w:rPr>
                <w:rFonts w:ascii="Times New Roman" w:hAnsi="Times New Roman"/>
                <w:spacing w:val="0"/>
                <w:kern w:val="0"/>
                <w:sz w:val="24"/>
                <w:szCs w:val="20"/>
              </w:rPr>
              <w:t>в настройках экрана в операционной системе значение параметра, отвечающего за изменение размера текста, приложений и других элементов, должно быть установлено</w:t>
            </w:r>
          </w:p>
          <w:p>
            <w:pPr>
              <w:pStyle w:val="TableParagraph1"/>
              <w:widowControl w:val="false"/>
              <w:spacing w:lineRule="auto" w:line="240" w:before="0" w:after="0"/>
              <w:ind w:hanging="0" w:left="422" w:right="0"/>
              <w:contextualSpacing/>
              <w:jc w:val="both"/>
              <w:rPr>
                <w:rFonts w:ascii="Times New Roman" w:hAnsi="Times New Roman"/>
                <w:spacing w:val="0"/>
                <w:kern w:val="0"/>
                <w:szCs w:val="20"/>
              </w:rPr>
            </w:pPr>
            <w:r>
              <w:rPr>
                <w:rFonts w:ascii="Times New Roman" w:hAnsi="Times New Roman"/>
                <w:spacing w:val="0"/>
                <w:kern w:val="0"/>
                <w:sz w:val="24"/>
                <w:szCs w:val="20"/>
              </w:rPr>
              <w:t xml:space="preserve">– </w:t>
            </w:r>
            <w:r>
              <w:rPr>
                <w:rFonts w:ascii="Times New Roman" w:hAnsi="Times New Roman"/>
                <w:spacing w:val="0"/>
                <w:kern w:val="0"/>
                <w:sz w:val="24"/>
                <w:szCs w:val="20"/>
              </w:rPr>
              <w:t>100%.</w:t>
            </w:r>
          </w:p>
          <w:p>
            <w:pPr>
              <w:pStyle w:val="TableParagraph1"/>
              <w:widowControl w:val="false"/>
              <w:spacing w:lineRule="auto" w:line="240" w:before="0" w:after="0"/>
              <w:ind w:hanging="0" w:left="102" w:right="103"/>
              <w:contextualSpacing/>
              <w:jc w:val="both"/>
              <w:rPr>
                <w:rFonts w:ascii="Times New Roman" w:hAnsi="Times New Roman"/>
                <w:spacing w:val="0"/>
                <w:kern w:val="0"/>
                <w:szCs w:val="20"/>
              </w:rPr>
            </w:pPr>
            <w:r>
              <w:rPr>
                <w:rFonts w:ascii="Times New Roman" w:hAnsi="Times New Roman"/>
                <w:spacing w:val="0"/>
                <w:kern w:val="0"/>
                <w:sz w:val="24"/>
                <w:szCs w:val="20"/>
              </w:rPr>
              <w:t>Внешний интерфейс: USB 2.0 и выше, рекомендуется не ниже USB 3.0, а также не менее двух свободных портов***.</w:t>
            </w:r>
          </w:p>
          <w:p>
            <w:pPr>
              <w:pStyle w:val="TableParagraph1"/>
              <w:widowControl w:val="false"/>
              <w:spacing w:lineRule="auto" w:line="240" w:before="0" w:after="0"/>
              <w:ind w:hanging="0" w:left="102" w:right="3434"/>
              <w:contextualSpacing/>
              <w:jc w:val="left"/>
              <w:rPr>
                <w:rFonts w:ascii="Times New Roman" w:hAnsi="Times New Roman"/>
                <w:spacing w:val="0"/>
                <w:kern w:val="0"/>
                <w:szCs w:val="20"/>
              </w:rPr>
            </w:pPr>
            <w:r>
              <w:rPr>
                <w:rFonts w:ascii="Times New Roman" w:hAnsi="Times New Roman"/>
                <w:spacing w:val="0"/>
                <w:kern w:val="0"/>
                <w:sz w:val="24"/>
                <w:szCs w:val="20"/>
              </w:rPr>
              <w:t>Манипулятор «мышь». Клавиатура.</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spacing w:val="0"/>
                <w:kern w:val="0"/>
                <w:sz w:val="24"/>
                <w:szCs w:val="20"/>
              </w:rPr>
              <w:t>Система бесперебойного питания (рекомендуется): выходная мощность, соответствующая потребляемой мощности подключённого компьютера (ноутбука), время работы при полной нагрузке не менее 15 мин.</w:t>
            </w:r>
          </w:p>
          <w:p>
            <w:pPr>
              <w:pStyle w:val="TableParagraph1"/>
              <w:widowControl w:val="false"/>
              <w:spacing w:lineRule="auto" w:line="240" w:before="0" w:after="0"/>
              <w:ind w:hanging="0" w:left="102" w:right="586"/>
              <w:contextualSpacing/>
              <w:jc w:val="left"/>
              <w:rPr>
                <w:rFonts w:ascii="Times New Roman" w:hAnsi="Times New Roman"/>
                <w:spacing w:val="0"/>
                <w:kern w:val="0"/>
                <w:szCs w:val="20"/>
              </w:rPr>
            </w:pPr>
            <w:r>
              <w:rPr>
                <w:rFonts w:ascii="Times New Roman" w:hAnsi="Times New Roman"/>
                <w:b/>
                <w:spacing w:val="0"/>
                <w:kern w:val="0"/>
                <w:sz w:val="24"/>
                <w:szCs w:val="20"/>
              </w:rPr>
              <w:t>Локальный или сетевой TWAIN–совместимый сканер: Формат бумаги</w:t>
            </w:r>
            <w:r>
              <w:rPr>
                <w:rFonts w:ascii="Times New Roman" w:hAnsi="Times New Roman"/>
                <w:spacing w:val="0"/>
                <w:kern w:val="0"/>
                <w:sz w:val="24"/>
                <w:szCs w:val="20"/>
              </w:rPr>
              <w:t>: не менее А4.</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Разрешение сканирования</w:t>
            </w:r>
            <w:r>
              <w:rPr>
                <w:rFonts w:ascii="Times New Roman" w:hAnsi="Times New Roman"/>
                <w:spacing w:val="0"/>
                <w:kern w:val="0"/>
                <w:sz w:val="24"/>
                <w:szCs w:val="20"/>
              </w:rPr>
              <w:t>: поддержка режима 300 dpi.</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Цветность сканирования</w:t>
            </w:r>
            <w:r>
              <w:rPr>
                <w:rFonts w:ascii="Times New Roman" w:hAnsi="Times New Roman"/>
                <w:spacing w:val="0"/>
                <w:kern w:val="0"/>
                <w:sz w:val="24"/>
                <w:szCs w:val="20"/>
              </w:rPr>
              <w:t>: черно-белый, оттенки серого.</w:t>
            </w:r>
          </w:p>
          <w:p>
            <w:pPr>
              <w:pStyle w:val="TableParagraph1"/>
              <w:widowControl w:val="false"/>
              <w:spacing w:lineRule="auto" w:line="240" w:before="0" w:after="0"/>
              <w:ind w:hanging="0" w:left="102" w:right="103"/>
              <w:contextualSpacing/>
              <w:jc w:val="both"/>
              <w:rPr>
                <w:rFonts w:ascii="Times New Roman" w:hAnsi="Times New Roman"/>
                <w:spacing w:val="0"/>
                <w:kern w:val="0"/>
                <w:szCs w:val="20"/>
              </w:rPr>
            </w:pPr>
            <w:r>
              <w:rPr>
                <w:rFonts w:ascii="Times New Roman" w:hAnsi="Times New Roman"/>
                <w:b/>
                <w:spacing w:val="0"/>
                <w:kern w:val="0"/>
                <w:sz w:val="24"/>
                <w:szCs w:val="20"/>
              </w:rPr>
              <w:t>Тип сканера</w:t>
            </w:r>
            <w:r>
              <w:rPr>
                <w:rFonts w:ascii="Times New Roman" w:hAnsi="Times New Roman"/>
                <w:spacing w:val="0"/>
                <w:kern w:val="0"/>
                <w:sz w:val="24"/>
                <w:szCs w:val="20"/>
              </w:rPr>
              <w:t>: поточный, односторонний, с поддержкой режима сканирования ADF: автоматическая подача документов.</w:t>
            </w:r>
          </w:p>
          <w:p>
            <w:pPr>
              <w:pStyle w:val="TableParagraph1"/>
              <w:widowControl w:val="false"/>
              <w:spacing w:lineRule="auto" w:line="240" w:before="0" w:after="0"/>
              <w:ind w:right="0"/>
              <w:contextualSpacing/>
              <w:jc w:val="left"/>
              <w:rPr>
                <w:rFonts w:ascii="Times New Roman" w:hAnsi="Times New Roman"/>
                <w:b/>
                <w:spacing w:val="0"/>
                <w:kern w:val="0"/>
                <w:sz w:val="24"/>
                <w:szCs w:val="20"/>
              </w:rPr>
            </w:pPr>
            <w:r>
              <w:rPr>
                <w:rFonts w:ascii="Times New Roman" w:hAnsi="Times New Roman"/>
                <w:b/>
                <w:spacing w:val="0"/>
                <w:kern w:val="0"/>
                <w:sz w:val="24"/>
                <w:szCs w:val="20"/>
              </w:rPr>
            </w:r>
          </w:p>
          <w:p>
            <w:pPr>
              <w:pStyle w:val="TableParagraph1"/>
              <w:widowControl w:val="false"/>
              <w:spacing w:lineRule="auto" w:line="240" w:before="0" w:after="0"/>
              <w:ind w:hanging="0" w:left="102" w:right="105"/>
              <w:contextualSpacing/>
              <w:jc w:val="both"/>
              <w:rPr>
                <w:rFonts w:ascii="Times New Roman" w:hAnsi="Times New Roman"/>
                <w:spacing w:val="0"/>
                <w:kern w:val="0"/>
                <w:szCs w:val="20"/>
              </w:rPr>
            </w:pPr>
            <w:r>
              <w:rPr>
                <w:rFonts w:ascii="Times New Roman" w:hAnsi="Times New Roman"/>
                <w:b/>
                <w:spacing w:val="0"/>
                <w:kern w:val="0"/>
                <w:sz w:val="24"/>
                <w:szCs w:val="20"/>
              </w:rPr>
              <w:t>Операционные системы*</w:t>
            </w:r>
            <w:r>
              <w:rPr>
                <w:rFonts w:ascii="Times New Roman" w:hAnsi="Times New Roman"/>
                <w:spacing w:val="0"/>
                <w:kern w:val="0"/>
                <w:sz w:val="24"/>
                <w:szCs w:val="20"/>
              </w:rPr>
              <w:t>: Windows 8.1/10 (сборка 1607 и выше), платформы: ia32 (x86), x64.</w:t>
            </w:r>
          </w:p>
          <w:p>
            <w:pPr>
              <w:pStyle w:val="TableParagraph1"/>
              <w:widowControl w:val="false"/>
              <w:spacing w:lineRule="auto" w:line="240" w:before="0" w:after="0"/>
              <w:ind w:hanging="0" w:left="102" w:right="102"/>
              <w:contextualSpacing/>
              <w:jc w:val="both"/>
              <w:rPr>
                <w:rFonts w:ascii="Times New Roman" w:hAnsi="Times New Roman"/>
                <w:spacing w:val="0"/>
                <w:kern w:val="0"/>
                <w:szCs w:val="20"/>
              </w:rPr>
            </w:pPr>
            <w:r>
              <w:rPr>
                <w:rFonts w:ascii="Times New Roman" w:hAnsi="Times New Roman"/>
                <w:b/>
                <w:spacing w:val="0"/>
                <w:kern w:val="0"/>
                <w:sz w:val="24"/>
                <w:szCs w:val="20"/>
              </w:rPr>
              <w:t xml:space="preserve">Специальное ПО: </w:t>
            </w:r>
            <w:r>
              <w:rPr>
                <w:rFonts w:ascii="Times New Roman" w:hAnsi="Times New Roman"/>
                <w:spacing w:val="0"/>
                <w:kern w:val="0"/>
                <w:sz w:val="24"/>
                <w:szCs w:val="20"/>
              </w:rPr>
              <w:t>Средство антивирусной защиты информации, имеющее действующий на весь период ЕГЭ сертификат ФСТЭК России.</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i/>
                <w:spacing w:val="0"/>
                <w:kern w:val="0"/>
                <w:sz w:val="24"/>
                <w:szCs w:val="20"/>
              </w:rPr>
              <w:t>Установка и запуск станции должны выполняться под учетной записью с правами локального администратора</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Станция КЕГЭ</w:t>
            </w:r>
          </w:p>
        </w:tc>
        <w:tc>
          <w:tcPr>
            <w:tcW w:w="1700" w:type="dxa"/>
            <w:tcBorders/>
          </w:tcPr>
          <w:p>
            <w:pPr>
              <w:pStyle w:val="11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По одной на каждого участника КЕГЭ + не менее одной резервной станции на каждые 5 станций КЕГЭ</w:t>
            </w:r>
          </w:p>
        </w:tc>
        <w:tc>
          <w:tcPr>
            <w:tcW w:w="6947" w:type="dxa"/>
            <w:tcBorders/>
          </w:tcPr>
          <w:p>
            <w:pPr>
              <w:pStyle w:val="TableParagraph1"/>
              <w:widowControl w:val="false"/>
              <w:spacing w:lineRule="auto" w:line="240" w:before="0" w:after="0"/>
              <w:ind w:hanging="0" w:left="102" w:right="4333"/>
              <w:contextualSpacing/>
              <w:jc w:val="left"/>
              <w:rPr>
                <w:rFonts w:ascii="Times New Roman" w:hAnsi="Times New Roman"/>
                <w:spacing w:val="0"/>
                <w:kern w:val="0"/>
                <w:szCs w:val="20"/>
              </w:rPr>
            </w:pPr>
            <w:r>
              <w:rPr>
                <w:rFonts w:ascii="Times New Roman" w:hAnsi="Times New Roman"/>
                <w:b/>
                <w:spacing w:val="0"/>
                <w:kern w:val="0"/>
                <w:sz w:val="24"/>
                <w:szCs w:val="20"/>
              </w:rPr>
              <w:t>Процессор</w:t>
            </w:r>
            <w:r>
              <w:rPr>
                <w:rFonts w:ascii="Times New Roman" w:hAnsi="Times New Roman"/>
                <w:spacing w:val="0"/>
                <w:kern w:val="0"/>
                <w:sz w:val="24"/>
                <w:szCs w:val="20"/>
              </w:rPr>
              <w:t>: количество ядер: от 4; частота: от 2,0 ГГц.</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 xml:space="preserve">Оперативная память: </w:t>
            </w:r>
            <w:r>
              <w:rPr>
                <w:rFonts w:ascii="Times New Roman" w:hAnsi="Times New Roman"/>
                <w:spacing w:val="0"/>
                <w:kern w:val="0"/>
                <w:sz w:val="24"/>
                <w:szCs w:val="20"/>
              </w:rPr>
              <w:t>от 4 Гбайт;</w:t>
            </w:r>
          </w:p>
          <w:p>
            <w:pPr>
              <w:pStyle w:val="TableParagraph1"/>
              <w:widowControl w:val="false"/>
              <w:spacing w:lineRule="auto" w:line="240" w:before="0" w:after="0"/>
              <w:ind w:hanging="0" w:left="102" w:right="108"/>
              <w:contextualSpacing/>
              <w:jc w:val="both"/>
              <w:rPr>
                <w:rFonts w:ascii="Times New Roman" w:hAnsi="Times New Roman"/>
                <w:spacing w:val="0"/>
                <w:kern w:val="0"/>
                <w:szCs w:val="20"/>
              </w:rPr>
            </w:pPr>
            <w:r>
              <w:rPr>
                <w:rFonts w:ascii="Times New Roman" w:hAnsi="Times New Roman"/>
                <w:spacing w:val="0"/>
                <w:kern w:val="0"/>
                <w:sz w:val="24"/>
                <w:szCs w:val="20"/>
              </w:rPr>
              <w:t>доступная (свободная) память для работы ПО (неиспользуемая прочими приложениями): не менее 1 Гбайт.</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Свободное дисковое пространство:</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от 100 Гбайт на начало экзаменационного периода;</w:t>
            </w:r>
          </w:p>
          <w:p>
            <w:pPr>
              <w:pStyle w:val="TableParagraph1"/>
              <w:widowControl w:val="false"/>
              <w:spacing w:lineRule="auto" w:line="240" w:before="0" w:after="0"/>
              <w:ind w:hanging="0" w:left="102" w:right="102"/>
              <w:contextualSpacing/>
              <w:jc w:val="both"/>
              <w:rPr>
                <w:rFonts w:ascii="Times New Roman" w:hAnsi="Times New Roman"/>
                <w:spacing w:val="0"/>
                <w:kern w:val="0"/>
                <w:szCs w:val="20"/>
              </w:rPr>
            </w:pPr>
            <w:r>
              <w:rPr>
                <w:rFonts w:ascii="Times New Roman" w:hAnsi="Times New Roman"/>
                <w:spacing w:val="0"/>
                <w:kern w:val="0"/>
                <w:sz w:val="24"/>
                <w:szCs w:val="20"/>
              </w:rPr>
              <w:t>не менее 20% от общего объема жесткого диска в течение экзаменационного периода.</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b/>
                <w:spacing w:val="0"/>
                <w:kern w:val="0"/>
                <w:sz w:val="24"/>
                <w:szCs w:val="20"/>
              </w:rPr>
              <w:t>Прочее оборудование:</w:t>
            </w:r>
          </w:p>
          <w:p>
            <w:pPr>
              <w:pStyle w:val="TableParagraph1"/>
              <w:widowControl w:val="false"/>
              <w:spacing w:lineRule="auto" w:line="240" w:before="0" w:after="0"/>
              <w:ind w:right="0"/>
              <w:contextualSpacing/>
              <w:jc w:val="both"/>
              <w:rPr>
                <w:rFonts w:ascii="Times New Roman" w:hAnsi="Times New Roman"/>
                <w:spacing w:val="0"/>
                <w:kern w:val="0"/>
                <w:szCs w:val="20"/>
              </w:rPr>
            </w:pPr>
            <w:r>
              <w:rPr>
                <w:rFonts w:ascii="Times New Roman" w:hAnsi="Times New Roman"/>
                <w:spacing w:val="0"/>
                <w:kern w:val="0"/>
                <w:sz w:val="24"/>
                <w:szCs w:val="20"/>
              </w:rPr>
              <w:t>Видеокарта и монитор:</w:t>
            </w:r>
          </w:p>
          <w:p>
            <w:pPr>
              <w:pStyle w:val="TableParagraph1"/>
              <w:widowControl w:val="false"/>
              <w:spacing w:lineRule="auto" w:line="240" w:before="0" w:after="0"/>
              <w:ind w:hanging="0" w:left="422" w:right="107"/>
              <w:contextualSpacing/>
              <w:jc w:val="both"/>
              <w:rPr>
                <w:rFonts w:ascii="Times New Roman" w:hAnsi="Times New Roman"/>
                <w:spacing w:val="0"/>
                <w:kern w:val="0"/>
                <w:szCs w:val="20"/>
              </w:rPr>
            </w:pPr>
            <w:r>
              <w:rPr>
                <w:rFonts w:ascii="Times New Roman" w:hAnsi="Times New Roman"/>
                <w:spacing w:val="0"/>
                <w:kern w:val="0"/>
                <w:sz w:val="24"/>
                <w:szCs w:val="20"/>
              </w:rPr>
              <w:t>разрешение не менее 1280 по горизонтали, не менее 1024 по вертикали;</w:t>
            </w:r>
          </w:p>
          <w:p>
            <w:pPr>
              <w:pStyle w:val="TableParagraph1"/>
              <w:widowControl w:val="false"/>
              <w:spacing w:lineRule="auto" w:line="240" w:before="0" w:after="0"/>
              <w:ind w:hanging="0" w:left="422" w:right="106"/>
              <w:contextualSpacing/>
              <w:jc w:val="both"/>
              <w:rPr>
                <w:rFonts w:ascii="Times New Roman" w:hAnsi="Times New Roman"/>
                <w:spacing w:val="0"/>
                <w:kern w:val="0"/>
                <w:szCs w:val="20"/>
              </w:rPr>
            </w:pPr>
            <w:r>
              <w:rPr>
                <w:rFonts w:ascii="Times New Roman" w:hAnsi="Times New Roman"/>
                <w:spacing w:val="0"/>
                <w:kern w:val="0"/>
                <w:sz w:val="24"/>
                <w:szCs w:val="20"/>
              </w:rPr>
              <w:t>диагональ экрана: от 13 дюймов для ноутбуков, от 15 дюймов мониторов и моноблоков:</w:t>
            </w:r>
          </w:p>
          <w:p>
            <w:pPr>
              <w:pStyle w:val="TableParagraph1"/>
              <w:widowControl w:val="false"/>
              <w:spacing w:lineRule="auto" w:line="240" w:before="0" w:after="0"/>
              <w:ind w:hanging="0" w:left="422" w:right="108"/>
              <w:contextualSpacing/>
              <w:jc w:val="both"/>
              <w:rPr>
                <w:rFonts w:ascii="Times New Roman" w:hAnsi="Times New Roman"/>
                <w:spacing w:val="0"/>
                <w:kern w:val="0"/>
                <w:szCs w:val="20"/>
              </w:rPr>
            </w:pPr>
            <w:r>
              <w:rPr>
                <w:rFonts w:ascii="Times New Roman" w:hAnsi="Times New Roman"/>
                <w:spacing w:val="0"/>
                <w:kern w:val="0"/>
                <w:sz w:val="24"/>
                <w:szCs w:val="20"/>
              </w:rPr>
              <w:t>в настройках экрана в операционной системе значение параметра, отвечающего за изменение размера текста, приложений и других элементов, должно быть установлено</w:t>
            </w:r>
          </w:p>
          <w:p>
            <w:pPr>
              <w:pStyle w:val="TableParagraph1"/>
              <w:widowControl w:val="false"/>
              <w:spacing w:lineRule="auto" w:line="240" w:before="0" w:after="0"/>
              <w:ind w:hanging="0" w:left="422" w:right="0"/>
              <w:contextualSpacing/>
              <w:jc w:val="both"/>
              <w:rPr>
                <w:rFonts w:ascii="Times New Roman" w:hAnsi="Times New Roman"/>
                <w:spacing w:val="0"/>
                <w:kern w:val="0"/>
                <w:szCs w:val="20"/>
              </w:rPr>
            </w:pPr>
            <w:r>
              <w:rPr>
                <w:rFonts w:ascii="Times New Roman" w:hAnsi="Times New Roman"/>
                <w:spacing w:val="0"/>
                <w:kern w:val="0"/>
                <w:sz w:val="24"/>
                <w:szCs w:val="20"/>
              </w:rPr>
              <w:t xml:space="preserve">– </w:t>
            </w:r>
            <w:r>
              <w:rPr>
                <w:rFonts w:ascii="Times New Roman" w:hAnsi="Times New Roman"/>
                <w:spacing w:val="0"/>
                <w:kern w:val="0"/>
                <w:sz w:val="24"/>
                <w:szCs w:val="20"/>
              </w:rPr>
              <w:t>100%.</w:t>
            </w:r>
          </w:p>
          <w:p>
            <w:pPr>
              <w:pStyle w:val="TableParagraph1"/>
              <w:widowControl w:val="false"/>
              <w:spacing w:lineRule="auto" w:line="240" w:before="0" w:after="0"/>
              <w:ind w:hanging="0" w:left="102" w:right="108"/>
              <w:contextualSpacing/>
              <w:jc w:val="both"/>
              <w:rPr>
                <w:rFonts w:ascii="Times New Roman" w:hAnsi="Times New Roman"/>
                <w:spacing w:val="0"/>
                <w:kern w:val="0"/>
                <w:szCs w:val="20"/>
              </w:rPr>
            </w:pPr>
            <w:r>
              <w:rPr>
                <w:rFonts w:ascii="Times New Roman" w:hAnsi="Times New Roman"/>
                <w:spacing w:val="0"/>
                <w:kern w:val="0"/>
                <w:sz w:val="24"/>
                <w:szCs w:val="20"/>
              </w:rPr>
              <w:t>Внешний интерфейс: USB 2.0 и выше, рекомендуется не ниже USB 3.0, а также не менее двух свободных**.</w:t>
            </w:r>
          </w:p>
          <w:p>
            <w:pPr>
              <w:pStyle w:val="TableParagraph1"/>
              <w:widowControl w:val="false"/>
              <w:spacing w:lineRule="auto" w:line="240" w:before="0" w:after="0"/>
              <w:ind w:hanging="0" w:left="102" w:right="3434"/>
              <w:contextualSpacing/>
              <w:jc w:val="left"/>
              <w:rPr>
                <w:rFonts w:ascii="Times New Roman" w:hAnsi="Times New Roman"/>
                <w:spacing w:val="0"/>
                <w:kern w:val="0"/>
                <w:szCs w:val="20"/>
              </w:rPr>
            </w:pPr>
            <w:r>
              <w:rPr>
                <w:rFonts w:ascii="Times New Roman" w:hAnsi="Times New Roman"/>
                <w:spacing w:val="0"/>
                <w:kern w:val="0"/>
                <w:sz w:val="24"/>
                <w:szCs w:val="20"/>
              </w:rPr>
              <w:t>Манипулятор «мышь». Клавиатура.</w:t>
            </w:r>
          </w:p>
          <w:p>
            <w:pPr>
              <w:pStyle w:val="TableParagraph1"/>
              <w:widowControl w:val="false"/>
              <w:spacing w:lineRule="auto" w:line="240" w:before="0" w:after="0"/>
              <w:ind w:hanging="0" w:left="102" w:right="103"/>
              <w:contextualSpacing/>
              <w:jc w:val="both"/>
              <w:rPr>
                <w:rFonts w:ascii="Times New Roman" w:hAnsi="Times New Roman"/>
                <w:spacing w:val="0"/>
                <w:kern w:val="0"/>
                <w:szCs w:val="20"/>
              </w:rPr>
            </w:pPr>
            <w:r>
              <w:rPr>
                <w:rFonts w:ascii="Times New Roman" w:hAnsi="Times New Roman"/>
                <w:b/>
                <w:spacing w:val="0"/>
                <w:kern w:val="0"/>
                <w:sz w:val="24"/>
                <w:szCs w:val="20"/>
              </w:rPr>
              <w:t>Операционные системы*</w:t>
            </w:r>
            <w:r>
              <w:rPr>
                <w:rFonts w:ascii="Times New Roman" w:hAnsi="Times New Roman"/>
                <w:spacing w:val="0"/>
                <w:kern w:val="0"/>
                <w:sz w:val="24"/>
                <w:szCs w:val="20"/>
              </w:rPr>
              <w:t>: Windows 8.1/10 (сборка 1607 и выше), платформы: ia32 (x86), x64.</w:t>
            </w:r>
          </w:p>
          <w:p>
            <w:pPr>
              <w:pStyle w:val="TableParagraph1"/>
              <w:widowControl w:val="false"/>
              <w:spacing w:lineRule="auto" w:line="240" w:before="0" w:after="0"/>
              <w:ind w:hanging="0" w:left="102" w:right="102"/>
              <w:contextualSpacing/>
              <w:jc w:val="both"/>
              <w:rPr>
                <w:rFonts w:ascii="Times New Roman" w:hAnsi="Times New Roman"/>
                <w:spacing w:val="0"/>
                <w:kern w:val="0"/>
                <w:szCs w:val="20"/>
              </w:rPr>
            </w:pPr>
            <w:r>
              <w:rPr>
                <w:rFonts w:ascii="Times New Roman" w:hAnsi="Times New Roman"/>
                <w:b/>
                <w:spacing w:val="0"/>
                <w:kern w:val="0"/>
                <w:sz w:val="24"/>
                <w:szCs w:val="20"/>
              </w:rPr>
              <w:t xml:space="preserve">Специальное ПО: </w:t>
            </w:r>
            <w:r>
              <w:rPr>
                <w:rFonts w:ascii="Times New Roman" w:hAnsi="Times New Roman"/>
                <w:spacing w:val="0"/>
                <w:kern w:val="0"/>
                <w:sz w:val="24"/>
                <w:szCs w:val="20"/>
              </w:rPr>
              <w:t>Средство антивирусной защиты информации, имеющее действующий на весь период ЕГЭ сертификат ФСТЭК России.</w:t>
            </w:r>
          </w:p>
          <w:p>
            <w:pPr>
              <w:pStyle w:val="TableParagraph1"/>
              <w:widowControl w:val="false"/>
              <w:spacing w:lineRule="auto" w:line="240" w:before="0" w:after="0"/>
              <w:ind w:hanging="0" w:left="102" w:right="105"/>
              <w:contextualSpacing/>
              <w:jc w:val="both"/>
              <w:rPr>
                <w:rFonts w:ascii="Times New Roman" w:hAnsi="Times New Roman"/>
                <w:spacing w:val="0"/>
                <w:kern w:val="0"/>
                <w:szCs w:val="20"/>
              </w:rPr>
            </w:pPr>
            <w:r>
              <w:rPr>
                <w:rFonts w:ascii="Times New Roman" w:hAnsi="Times New Roman"/>
                <w:spacing w:val="0"/>
                <w:kern w:val="0"/>
                <w:sz w:val="24"/>
                <w:szCs w:val="20"/>
              </w:rPr>
              <w:t>ПО, предоставляемое участнику экзамена (состав определяется субъектом Российской Федерации):</w:t>
            </w:r>
          </w:p>
          <w:p>
            <w:pPr>
              <w:pStyle w:val="TableParagraph1"/>
              <w:widowControl w:val="false"/>
              <w:spacing w:lineRule="auto" w:line="240" w:before="0" w:after="0"/>
              <w:ind w:hanging="0" w:left="422" w:right="102"/>
              <w:contextualSpacing/>
              <w:jc w:val="both"/>
              <w:rPr>
                <w:rFonts w:ascii="Times New Roman" w:hAnsi="Times New Roman"/>
                <w:spacing w:val="0"/>
                <w:kern w:val="0"/>
                <w:szCs w:val="20"/>
              </w:rPr>
            </w:pPr>
            <w:r>
              <w:rPr>
                <w:rFonts w:ascii="Times New Roman" w:hAnsi="Times New Roman"/>
                <w:spacing w:val="0"/>
                <w:kern w:val="0"/>
                <w:sz w:val="24"/>
                <w:szCs w:val="20"/>
              </w:rPr>
              <w:t>текстовые редакторы, редакторы электронных таблиц, системы программирования на языках С#, C++, Pascal, Java, Python.</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i/>
                <w:spacing w:val="0"/>
                <w:kern w:val="0"/>
                <w:sz w:val="24"/>
                <w:szCs w:val="20"/>
              </w:rPr>
              <w:t>Установка и запуск ПО «Станция КЕГЭ» должны выполняться под учетной записью с правами локального администратора.</w:t>
            </w:r>
          </w:p>
        </w:tc>
      </w:tr>
      <w:tr>
        <w:trPr/>
        <w:tc>
          <w:tcPr>
            <w:tcW w:w="10343" w:type="dxa"/>
            <w:gridSpan w:val="3"/>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i/>
                <w:spacing w:val="0"/>
                <w:kern w:val="0"/>
                <w:sz w:val="24"/>
                <w:szCs w:val="20"/>
              </w:rPr>
              <w:t>Дополнительное оборудование и расходные материалы</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Токен</w:t>
            </w:r>
          </w:p>
        </w:tc>
        <w:tc>
          <w:tcPr>
            <w:tcW w:w="1700" w:type="dxa"/>
            <w:tcBorders/>
          </w:tcPr>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по 1</w:t>
            </w:r>
          </w:p>
          <w:p>
            <w:pPr>
              <w:pStyle w:val="11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на каждого члена ГЭК, не менее 2 на ППЭ</w:t>
            </w:r>
          </w:p>
        </w:tc>
        <w:tc>
          <w:tcPr>
            <w:tcW w:w="6947" w:type="dxa"/>
            <w:tcBorders/>
          </w:tcPr>
          <w:p>
            <w:pPr>
              <w:pStyle w:val="TableParagraph1"/>
              <w:widowControl w:val="false"/>
              <w:spacing w:lineRule="auto" w:line="240" w:before="0" w:after="0"/>
              <w:ind w:hanging="0" w:left="102" w:right="99"/>
              <w:contextualSpacing/>
              <w:jc w:val="both"/>
              <w:rPr>
                <w:rFonts w:ascii="Times New Roman" w:hAnsi="Times New Roman"/>
                <w:spacing w:val="0"/>
                <w:kern w:val="0"/>
                <w:szCs w:val="20"/>
              </w:rPr>
            </w:pPr>
            <w:r>
              <w:rPr>
                <w:rFonts w:ascii="Times New Roman" w:hAnsi="Times New Roman"/>
                <w:spacing w:val="0"/>
                <w:kern w:val="0"/>
                <w:sz w:val="24"/>
                <w:szCs w:val="20"/>
              </w:rPr>
              <w:t>Защищенный внешний носитель с записанным ключом шифрования.</w:t>
            </w:r>
          </w:p>
          <w:p>
            <w:pPr>
              <w:pStyle w:val="TableParagraph1"/>
              <w:widowControl w:val="false"/>
              <w:spacing w:lineRule="auto" w:line="240" w:before="0" w:after="0"/>
              <w:ind w:hanging="0" w:left="102" w:right="99"/>
              <w:contextualSpacing/>
              <w:jc w:val="both"/>
              <w:rPr>
                <w:rFonts w:ascii="Times New Roman" w:hAnsi="Times New Roman"/>
                <w:spacing w:val="0"/>
                <w:kern w:val="0"/>
                <w:szCs w:val="20"/>
              </w:rPr>
            </w:pPr>
            <w:r>
              <w:rPr>
                <w:rFonts w:ascii="Times New Roman" w:hAnsi="Times New Roman"/>
                <w:spacing w:val="0"/>
                <w:kern w:val="0"/>
                <w:sz w:val="24"/>
                <w:szCs w:val="20"/>
              </w:rPr>
              <w:t>Токен члена ГЭК используется для авторизации члена ГЭК и подтверждения действий в личном кабинете ППЭ;</w:t>
            </w:r>
          </w:p>
          <w:p>
            <w:pPr>
              <w:pStyle w:val="TableParagraph1"/>
              <w:widowControl w:val="false"/>
              <w:spacing w:lineRule="auto" w:line="240" w:before="0" w:after="0"/>
              <w:ind w:hanging="0" w:left="102" w:right="99"/>
              <w:contextualSpacing/>
              <w:jc w:val="both"/>
              <w:rPr>
                <w:rFonts w:ascii="Times New Roman" w:hAnsi="Times New Roman"/>
                <w:spacing w:val="0"/>
                <w:kern w:val="0"/>
                <w:szCs w:val="20"/>
              </w:rPr>
            </w:pPr>
            <w:r>
              <w:rPr>
                <w:rFonts w:ascii="Times New Roman" w:hAnsi="Times New Roman"/>
                <w:spacing w:val="0"/>
                <w:kern w:val="0"/>
                <w:sz w:val="24"/>
                <w:szCs w:val="20"/>
              </w:rPr>
              <w:t>для активации ключа доступа на станциях организатора, станциях Штаба ППЭ и станциях КЕГЭ;</w:t>
            </w:r>
          </w:p>
          <w:p>
            <w:pPr>
              <w:pStyle w:val="TableParagraph1"/>
              <w:widowControl w:val="false"/>
              <w:spacing w:lineRule="auto" w:line="240" w:before="0" w:after="0"/>
              <w:ind w:hanging="0" w:left="102" w:right="99"/>
              <w:contextualSpacing/>
              <w:jc w:val="both"/>
              <w:rPr>
                <w:rFonts w:ascii="Times New Roman" w:hAnsi="Times New Roman"/>
                <w:spacing w:val="0"/>
                <w:kern w:val="0"/>
                <w:szCs w:val="20"/>
              </w:rPr>
            </w:pPr>
            <w:r>
              <w:rPr>
                <w:rFonts w:ascii="Times New Roman" w:hAnsi="Times New Roman"/>
                <w:spacing w:val="0"/>
                <w:kern w:val="0"/>
                <w:sz w:val="24"/>
                <w:szCs w:val="20"/>
              </w:rPr>
              <w:t>для формирования зашифрованного пакета с электронными образами бланков и форм ППЭ на станции организатора, станции Штаба ППЭ для формирования зашифрованных пакетов с ответами участников КЕГЭ на станциях КЕГЭ</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Флеш- накопитель для переноса данных между станциями ППЭ</w:t>
            </w:r>
          </w:p>
        </w:tc>
        <w:tc>
          <w:tcPr>
            <w:tcW w:w="1700" w:type="dxa"/>
            <w:tcBorders/>
          </w:tcPr>
          <w:p>
            <w:pPr>
              <w:pStyle w:val="111"/>
              <w:widowControl w:val="false"/>
              <w:spacing w:lineRule="auto" w:line="240" w:before="0" w:after="0"/>
              <w:ind w:hanging="0" w:left="0" w:right="0"/>
              <w:contextualSpacing/>
              <w:jc w:val="left"/>
              <w:rPr>
                <w:rFonts w:ascii="Times New Roman" w:hAnsi="Times New Roman"/>
                <w:spacing w:val="0"/>
                <w:kern w:val="0"/>
                <w:szCs w:val="20"/>
              </w:rPr>
            </w:pPr>
            <w:r>
              <w:rPr>
                <w:rFonts w:ascii="Times New Roman" w:hAnsi="Times New Roman"/>
                <w:spacing w:val="0"/>
                <w:kern w:val="0"/>
                <w:sz w:val="24"/>
                <w:szCs w:val="20"/>
              </w:rPr>
              <w:t>От 1 + не менее 1 резервного</w:t>
            </w:r>
          </w:p>
        </w:tc>
        <w:tc>
          <w:tcPr>
            <w:tcW w:w="6947" w:type="dxa"/>
            <w:tcBorders/>
          </w:tcPr>
          <w:p>
            <w:pPr>
              <w:pStyle w:val="TableParagraph1"/>
              <w:widowControl w:val="false"/>
              <w:spacing w:lineRule="auto" w:line="240" w:before="0" w:after="0"/>
              <w:ind w:hanging="0" w:left="102" w:right="104"/>
              <w:contextualSpacing/>
              <w:jc w:val="left"/>
              <w:rPr>
                <w:rFonts w:ascii="Times New Roman" w:hAnsi="Times New Roman"/>
                <w:spacing w:val="0"/>
                <w:kern w:val="0"/>
                <w:szCs w:val="20"/>
              </w:rPr>
            </w:pPr>
            <w:r>
              <w:rPr>
                <w:rFonts w:ascii="Times New Roman" w:hAnsi="Times New Roman"/>
                <w:spacing w:val="0"/>
                <w:kern w:val="0"/>
                <w:sz w:val="24"/>
                <w:szCs w:val="20"/>
              </w:rPr>
              <w:t>Флеш-накопитель используется техническим специалистом для переноса данных между станциями ППЭ.</w:t>
            </w:r>
          </w:p>
          <w:p>
            <w:pPr>
              <w:pStyle w:val="TableParagraph1"/>
              <w:widowControl w:val="false"/>
              <w:spacing w:lineRule="auto" w:line="240" w:before="0" w:after="0"/>
              <w:ind w:hanging="0" w:left="102" w:right="104"/>
              <w:contextualSpacing/>
              <w:jc w:val="left"/>
              <w:rPr>
                <w:rFonts w:ascii="Times New Roman" w:hAnsi="Times New Roman"/>
                <w:spacing w:val="0"/>
                <w:kern w:val="0"/>
                <w:szCs w:val="20"/>
              </w:rPr>
            </w:pPr>
            <w:r>
              <w:rPr>
                <w:rFonts w:ascii="Times New Roman" w:hAnsi="Times New Roman"/>
                <w:spacing w:val="0"/>
                <w:kern w:val="0"/>
                <w:sz w:val="24"/>
                <w:szCs w:val="20"/>
              </w:rPr>
              <w:t>Суммарный объем всех флеш-накопителей должен быть не менее 10 Гб.</w:t>
            </w:r>
          </w:p>
          <w:p>
            <w:pPr>
              <w:pStyle w:val="TableParagraph1"/>
              <w:widowControl w:val="false"/>
              <w:spacing w:lineRule="auto" w:line="240" w:before="0" w:after="0"/>
              <w:ind w:hanging="0" w:left="102" w:right="104"/>
              <w:contextualSpacing/>
              <w:jc w:val="left"/>
              <w:rPr>
                <w:rFonts w:ascii="Times New Roman" w:hAnsi="Times New Roman"/>
                <w:spacing w:val="0"/>
                <w:kern w:val="0"/>
                <w:szCs w:val="20"/>
              </w:rPr>
            </w:pPr>
            <w:r>
              <w:rPr>
                <w:rFonts w:ascii="Times New Roman" w:hAnsi="Times New Roman"/>
                <w:spacing w:val="0"/>
                <w:kern w:val="0"/>
                <w:sz w:val="24"/>
                <w:szCs w:val="20"/>
              </w:rPr>
              <w:t>Интерфейс: USB 2.0 и выше, рекомендуется не ниже USB 3.0</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Флеш- накопитель для хранения интернет- пакетов</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от 1 + не менее 1 резервного</w:t>
            </w:r>
          </w:p>
        </w:tc>
        <w:tc>
          <w:tcPr>
            <w:tcW w:w="6947" w:type="dxa"/>
            <w:tcBorders/>
          </w:tcPr>
          <w:p>
            <w:pPr>
              <w:pStyle w:val="TableParagraph1"/>
              <w:widowControl w:val="false"/>
              <w:spacing w:lineRule="auto" w:line="240" w:before="0" w:after="0"/>
              <w:ind w:hanging="0" w:left="102" w:right="249"/>
              <w:contextualSpacing/>
              <w:jc w:val="left"/>
              <w:rPr>
                <w:rFonts w:ascii="Times New Roman" w:hAnsi="Times New Roman"/>
                <w:spacing w:val="0"/>
                <w:kern w:val="0"/>
                <w:szCs w:val="20"/>
              </w:rPr>
            </w:pPr>
            <w:r>
              <w:rPr>
                <w:rFonts w:ascii="Times New Roman" w:hAnsi="Times New Roman"/>
                <w:spacing w:val="0"/>
                <w:kern w:val="0"/>
                <w:sz w:val="24"/>
                <w:szCs w:val="20"/>
              </w:rPr>
              <w:t>Флеш-накопитель используется для хранения доставленных в ППЭ интернет-пакетов.</w:t>
            </w:r>
          </w:p>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spacing w:val="0"/>
                <w:kern w:val="0"/>
                <w:sz w:val="24"/>
                <w:szCs w:val="20"/>
              </w:rPr>
              <w:t>Объем флеш-накопителя не менее 32 Гб.</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Интерфейс: USB 2.0 и выше, рекомендуется не ниже USB 3.0.</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Флеш- накопитель для сохранения ответов участников КЕГЭ</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По 1 на каждую аудиторию или по 1 на каждого ТС</w:t>
            </w:r>
          </w:p>
        </w:tc>
        <w:tc>
          <w:tcPr>
            <w:tcW w:w="6947" w:type="dxa"/>
            <w:tcBorders/>
          </w:tcPr>
          <w:p>
            <w:pPr>
              <w:pStyle w:val="TableParagraph1"/>
              <w:widowControl w:val="false"/>
              <w:spacing w:lineRule="auto" w:line="240" w:before="0" w:after="0"/>
              <w:ind w:hanging="0" w:left="102" w:right="100"/>
              <w:contextualSpacing/>
              <w:jc w:val="both"/>
              <w:rPr>
                <w:rFonts w:ascii="Times New Roman" w:hAnsi="Times New Roman"/>
                <w:spacing w:val="0"/>
                <w:kern w:val="0"/>
                <w:szCs w:val="20"/>
              </w:rPr>
            </w:pPr>
            <w:r>
              <w:rPr>
                <w:rFonts w:ascii="Times New Roman" w:hAnsi="Times New Roman"/>
                <w:spacing w:val="0"/>
                <w:kern w:val="0"/>
                <w:sz w:val="24"/>
                <w:szCs w:val="20"/>
              </w:rPr>
              <w:t>Суммарный объем всех флеш-накопителей, на которые предполагается сохранять ответы участников КЕГЭ, должен быть не менее 10 Гб.</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spacing w:val="0"/>
                <w:kern w:val="0"/>
                <w:sz w:val="24"/>
                <w:szCs w:val="20"/>
              </w:rPr>
              <w:t>Флеш-накопители для сохранения ответов участников КЕГЭ могут быть доставлены в ППЭ членами ГЭК (схема обеспечения определяется регионом).</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spacing w:val="0"/>
                <w:kern w:val="0"/>
                <w:sz w:val="24"/>
                <w:szCs w:val="20"/>
              </w:rPr>
              <w:t>Допускается использовать несколько флеш-накопителей. Запрещено: вручную изменять местоположение файлов пакетов с ответами участников КЕГЭ.</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spacing w:val="0"/>
                <w:kern w:val="0"/>
                <w:sz w:val="24"/>
                <w:szCs w:val="20"/>
              </w:rPr>
              <w:t>Рекомендуется USB 3.0.</w:t>
            </w:r>
          </w:p>
          <w:p>
            <w:pPr>
              <w:pStyle w:val="TableParagraph1"/>
              <w:widowControl w:val="false"/>
              <w:spacing w:lineRule="auto" w:line="240" w:before="0" w:after="0"/>
              <w:ind w:hanging="0" w:left="102" w:right="104"/>
              <w:contextualSpacing/>
              <w:jc w:val="both"/>
              <w:rPr>
                <w:rFonts w:ascii="Times New Roman" w:hAnsi="Times New Roman"/>
                <w:spacing w:val="0"/>
                <w:kern w:val="0"/>
                <w:szCs w:val="20"/>
              </w:rPr>
            </w:pPr>
            <w:r>
              <w:rPr>
                <w:rFonts w:ascii="Times New Roman" w:hAnsi="Times New Roman"/>
                <w:b/>
                <w:spacing w:val="0"/>
                <w:kern w:val="0"/>
                <w:sz w:val="24"/>
                <w:szCs w:val="20"/>
              </w:rPr>
              <w:t>Важно!</w:t>
            </w:r>
            <w:r>
              <w:rPr>
                <w:rFonts w:ascii="Times New Roman" w:hAnsi="Times New Roman"/>
                <w:spacing w:val="0"/>
                <w:kern w:val="0"/>
                <w:sz w:val="24"/>
                <w:szCs w:val="20"/>
              </w:rPr>
              <w:t xml:space="preserve"> По окончании экзамена флеш-накопители с сохраненными ответами участников КЕГЭ остаются на хранение в ППЭ и не должны использоваться при проведении последующих экзаменов</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Бумага</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В среднем 15 листов на один на участника экзамена</w:t>
            </w:r>
          </w:p>
        </w:tc>
        <w:tc>
          <w:tcPr>
            <w:tcW w:w="6947" w:type="dxa"/>
            <w:tcBorders/>
          </w:tcPr>
          <w:p>
            <w:pPr>
              <w:pStyle w:val="TableParagraph1"/>
              <w:widowControl w:val="false"/>
              <w:spacing w:lineRule="auto" w:line="240" w:before="0" w:after="0"/>
              <w:ind w:right="0"/>
              <w:contextualSpacing/>
              <w:jc w:val="left"/>
              <w:rPr>
                <w:rFonts w:ascii="Times New Roman" w:hAnsi="Times New Roman"/>
                <w:spacing w:val="0"/>
                <w:kern w:val="0"/>
                <w:szCs w:val="20"/>
              </w:rPr>
            </w:pPr>
            <w:r>
              <w:rPr>
                <w:rFonts w:ascii="Times New Roman" w:hAnsi="Times New Roman"/>
                <w:b/>
                <w:spacing w:val="0"/>
                <w:kern w:val="0"/>
                <w:sz w:val="24"/>
                <w:szCs w:val="20"/>
              </w:rPr>
              <w:t xml:space="preserve">плотность </w:t>
            </w:r>
            <w:r>
              <w:rPr>
                <w:rFonts w:ascii="Times New Roman" w:hAnsi="Times New Roman"/>
                <w:spacing w:val="0"/>
                <w:kern w:val="0"/>
                <w:sz w:val="24"/>
                <w:szCs w:val="20"/>
              </w:rPr>
              <w:t>80 г/м</w:t>
            </w:r>
            <w:r>
              <w:rPr>
                <w:rFonts w:ascii="Times New Roman" w:hAnsi="Times New Roman"/>
                <w:spacing w:val="0"/>
                <w:kern w:val="0"/>
                <w:sz w:val="16"/>
                <w:szCs w:val="20"/>
              </w:rPr>
              <w:t>2</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b/>
                <w:spacing w:val="0"/>
                <w:kern w:val="0"/>
                <w:sz w:val="24"/>
                <w:szCs w:val="20"/>
              </w:rPr>
              <w:t>Белизна</w:t>
            </w:r>
            <w:r>
              <w:rPr>
                <w:rFonts w:ascii="Times New Roman" w:hAnsi="Times New Roman"/>
                <w:spacing w:val="0"/>
                <w:kern w:val="0"/>
                <w:sz w:val="24"/>
                <w:szCs w:val="20"/>
              </w:rPr>
              <w:t>: от 150%</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Резервный USB-модем</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1 на ППЭ</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Резервный USB-модем используется в случае возникновения проблем с доступом в сеть «Интернет» по стационарному каналу связи.</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Резервные картриджи</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не менее 1-го резервного картриджа</w:t>
            </w:r>
          </w:p>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на 3 лазерных принтера одной модели.</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Общее количество картриджей рассчитывается в соответствии с техническими характеристиками картриджа, исходя из среднего значения объёма одного ИК – 15 листов.</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Резервный лазерный принтер</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не менее одного на ППЭ</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Используется в случае выхода из строя принтера, используемого на какой-либо основной или резервной станции организатора или станции Штаба ППЭ</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Резервный сканер</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не менее одного на ППЭ</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Используется в случае выхода из строя сканера, используемого на какой-либо основной или резервной станции Штаба ППЭ, станции организатора</w:t>
            </w:r>
          </w:p>
        </w:tc>
      </w:tr>
      <w:tr>
        <w:trPr/>
        <w:tc>
          <w:tcPr>
            <w:tcW w:w="1696"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Резервные кабели для подключения принтеров  и сканеров  к компьютерам (ноутбукам)</w:t>
            </w:r>
          </w:p>
        </w:tc>
        <w:tc>
          <w:tcPr>
            <w:tcW w:w="1700"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От 1 на ППЭ</w:t>
            </w:r>
          </w:p>
        </w:tc>
        <w:tc>
          <w:tcPr>
            <w:tcW w:w="6947" w:type="dxa"/>
            <w:tcBorders/>
          </w:tcPr>
          <w:p>
            <w:pPr>
              <w:pStyle w:val="111"/>
              <w:widowControl w:val="false"/>
              <w:spacing w:lineRule="auto" w:line="240" w:before="0" w:after="0"/>
              <w:ind w:hanging="0" w:left="0" w:right="0"/>
              <w:contextualSpacing/>
              <w:jc w:val="both"/>
              <w:rPr>
                <w:rFonts w:ascii="Times New Roman" w:hAnsi="Times New Roman"/>
                <w:spacing w:val="0"/>
                <w:kern w:val="0"/>
                <w:szCs w:val="20"/>
              </w:rPr>
            </w:pPr>
            <w:r>
              <w:rPr>
                <w:rFonts w:ascii="Times New Roman" w:hAnsi="Times New Roman"/>
                <w:spacing w:val="0"/>
                <w:kern w:val="0"/>
                <w:sz w:val="24"/>
                <w:szCs w:val="20"/>
              </w:rPr>
              <w:t>Используются в случае сбоя при подключении принтера или сканера к компьютеру (ноутбуку)</w:t>
            </w:r>
          </w:p>
        </w:tc>
      </w:tr>
    </w:tbl>
    <w:p>
      <w:pPr>
        <w:pStyle w:val="111"/>
        <w:spacing w:lineRule="auto" w:line="240" w:before="0" w:after="0"/>
        <w:ind w:firstLine="720" w:left="0" w:right="0"/>
        <w:contextualSpacing/>
        <w:jc w:val="both"/>
        <w:rPr>
          <w:rFonts w:ascii="Times New Roman" w:hAnsi="Times New Roman"/>
        </w:rPr>
      </w:pPr>
      <w:r>
        <w:rPr>
          <w:rFonts w:ascii="Times New Roman" w:hAnsi="Times New Roman"/>
        </w:rPr>
        <w:t>* На компьютерах (ноутбуках) перед началом каждого периода должна быть установлена «чистая» операционная система (новая установка) и программное обеспечение, необходимое для работы соответствующей станции ППЭ. Установка другого ПО до окончания использования станций ППЭ при проведении ЕГЭ запрещается.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В случае использования USB-концентратора следует использовать следующий порядок подключения: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токен члена ГЭК – непосредственно в USB-порт компьютера (ноутбука); принтер/сканер/аудиогарнитура (при подключении через USB) – непосредственно в USB-порт компьютера (ноутбука);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флеш-накопитель, манипулятор «мышь» - через USB-концентратор.</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Для организации доступа к личному кабинету ППЭ должны выполняться требования по обеспечению безопасности персональных данных при их обработке в информационной системе в соответствии с законодательством Российской Федерации. Подтверждением выполнения мер на соответствие требованиям по защите информации является аттестат соответствия требованиям по защите информации.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Для ускорения процесса обработки бланков в ППЭ может быть использовано более одной Станции Штаба ППЭ. Их количество РЦОИ определяет самостоятельно, исходя из числа участников экзамена, распределённых в ППЭ на дату экзамена, скорости работы используемых сканеров, а также навыков задействованных работников ППЭ. На обработку бланков, включая их комплектацию, приёмку у организаторов и заполнение соответствующих форм ППЭ отводится не более 2-х часов.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В случае несоответствия используемых компьютеров (ноутбуков) указанным требованиям допускается их использование по усмотрению Министерства при условии успешного проведения на данном оборудовании регионального и всероссийского тренировочного мероприятия.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Важно!</w:t>
      </w:r>
      <w:r>
        <w:rPr>
          <w:rFonts w:ascii="Times New Roman" w:hAnsi="Times New Roman"/>
        </w:rPr>
        <w:t xml:space="preserve"> Всем компьютерам (ноутбукам) должен быть присвоен уникальный в ППЭ номер компьютера (ноутбука), в случае установки на компьютер (ноутбук) нескольких видов ПО, номер компьютера (ноутбука) в каждом ПО должен совпадать.</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 использовании отдельно взятого компьютера (ноутбука), которому в ППЭ присвоен свой уникальный номер, при проведении экзаменов: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ДОПУСКАЕТСЯ: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устанавливать, в дополнение к основной станции организатора, основную станцию КЕГЭ (при проведении экзамена в ППЭ на дому);</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устанавливать, в дополнение к основной станции организатора, основную станцию Штаба ППЭ (при проведении экзамена в ППЭ на дому) при условии последовательного использования (одновременный запуск станции организатора и станции Штаба ППЭ запрещены);</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использовать станцию организатора, установленную на этом компьютере (ноутбуке), для печати ЭМ по разным учебным предметам, если экзамен по ним проводится в одной аудитории в день проведения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устанавливать любые резервные станции и использовать, в случае возникновения нештатной ситуации, взамен вышедшей из строя станции соответствующего типа.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НЕ ДОПУСКАЕТСЯ (в том числе запрещается при передаче электронных актов в систему мониторинга готовности ППЭ):</w:t>
      </w:r>
    </w:p>
    <w:p>
      <w:pPr>
        <w:sectPr>
          <w:headerReference w:type="default" r:id="rId12"/>
          <w:headerReference w:type="first" r:id="rId13"/>
          <w:footerReference w:type="default" r:id="rId14"/>
          <w:footerReference w:type="first" r:id="rId15"/>
          <w:footnotePr>
            <w:numFmt w:val="decimal"/>
          </w:footnotePr>
          <w:type w:val="nextPage"/>
          <w:pgSz w:w="11906" w:h="16838"/>
          <w:pgMar w:left="1038" w:right="484" w:gutter="0" w:header="530" w:top="958" w:footer="3" w:bottom="1474"/>
          <w:pgNumType w:fmt="decimal"/>
          <w:formProt w:val="false"/>
          <w:textDirection w:val="lrTb"/>
          <w:docGrid w:type="default" w:linePitch="100" w:charSpace="0"/>
        </w:sectPr>
        <w:pStyle w:val="111"/>
        <w:spacing w:lineRule="auto" w:line="240" w:before="0" w:after="0"/>
        <w:ind w:firstLine="720" w:left="0" w:right="0"/>
        <w:contextualSpacing/>
        <w:jc w:val="both"/>
        <w:rPr>
          <w:rFonts w:ascii="Times New Roman" w:hAnsi="Times New Roman"/>
        </w:rPr>
      </w:pPr>
      <w:r>
        <w:rPr>
          <w:rFonts w:ascii="Times New Roman" w:hAnsi="Times New Roman"/>
        </w:rPr>
        <w:t>использовать как основную или резервную станцию одного типа одновременно в двух и более различных аудиториях.</w:t>
      </w:r>
    </w:p>
    <w:p>
      <w:pPr>
        <w:pStyle w:val="Heading1"/>
        <w:keepNext w:val="true"/>
        <w:keepLines/>
        <w:widowControl w:val="false"/>
        <w:numPr>
          <w:ilvl w:val="0"/>
          <w:numId w:val="6"/>
        </w:numPr>
        <w:bidi w:val="0"/>
        <w:spacing w:lineRule="auto" w:line="240" w:before="0" w:after="0"/>
        <w:ind w:hanging="0" w:left="454" w:right="0"/>
        <w:contextualSpacing/>
        <w:jc w:val="center"/>
        <w:rPr>
          <w:rFonts w:ascii="Times New Roman" w:hAnsi="Times New Roman"/>
        </w:rPr>
      </w:pPr>
      <w:bookmarkStart w:id="42" w:name="__RefHeading___11"/>
      <w:bookmarkStart w:id="43" w:name="bookmark50"/>
      <w:bookmarkStart w:id="44" w:name="bookmark51"/>
      <w:bookmarkStart w:id="45" w:name="bookmark52"/>
      <w:bookmarkEnd w:id="42"/>
      <w:r>
        <w:rPr>
          <w:rFonts w:ascii="Times New Roman" w:hAnsi="Times New Roman"/>
          <w:b/>
        </w:rPr>
        <w:t xml:space="preserve">Рекомендации по проведению ЕГЭ по информатике в компьютерной форме (КЕГЭ) в ППЭ для участников КЕГЭ с </w:t>
      </w:r>
      <w:r>
        <w:rPr>
          <w:rFonts w:ascii="Times New Roman" w:hAnsi="Times New Roman"/>
        </w:rPr>
        <w:t>ОВЗ</w:t>
      </w:r>
      <w:r>
        <w:rPr>
          <w:rFonts w:ascii="Times New Roman" w:hAnsi="Times New Roman"/>
          <w:b/>
        </w:rPr>
        <w:t>, участников экзаменов – детей-инвалидов и инвалидов</w:t>
      </w:r>
      <w:bookmarkEnd w:id="43"/>
      <w:bookmarkEnd w:id="44"/>
      <w:bookmarkEnd w:id="45"/>
    </w:p>
    <w:p>
      <w:pPr>
        <w:pStyle w:val="111"/>
        <w:spacing w:lineRule="auto" w:line="240" w:before="0" w:after="0"/>
        <w:ind w:firstLine="720" w:left="0" w:right="0"/>
        <w:contextualSpacing/>
        <w:jc w:val="both"/>
        <w:rPr>
          <w:rFonts w:ascii="Times New Roman" w:hAnsi="Times New Roman"/>
        </w:rPr>
      </w:pPr>
      <w:bookmarkStart w:id="46" w:name="bookmark53"/>
      <w:r>
        <w:rPr>
          <w:rFonts w:ascii="Times New Roman" w:hAnsi="Times New Roman"/>
        </w:rPr>
        <w:t>Общие положения о проведении экзаменов для участников экзаменов с ОВЗ, участников экзаменов - детей-инвалидов и инвалидов описаны в региональной инструкции по организации и проведению государственной итоговой аттестации по образовательным программам основного общего и среднего общего образования для лиц с ограниченными возможностями здоровья, детей-инвалидов и инвалидов в 2026 году.</w:t>
      </w:r>
      <w:bookmarkEnd w:id="46"/>
    </w:p>
    <w:p>
      <w:pPr>
        <w:pStyle w:val="Heading2"/>
        <w:numPr>
          <w:ilvl w:val="0"/>
          <w:numId w:val="3"/>
        </w:numPr>
        <w:tabs>
          <w:tab w:val="clear" w:pos="1281"/>
          <w:tab w:val="left" w:pos="1701" w:leader="none"/>
        </w:tabs>
        <w:spacing w:lineRule="auto" w:line="240" w:before="0" w:after="0"/>
        <w:ind w:firstLine="709" w:left="0" w:right="0"/>
        <w:contextualSpacing/>
        <w:rPr>
          <w:rFonts w:ascii="Times New Roman" w:hAnsi="Times New Roman"/>
        </w:rPr>
      </w:pPr>
      <w:bookmarkStart w:id="47" w:name="__RefHeading___12"/>
      <w:bookmarkStart w:id="48" w:name="bookmark55"/>
      <w:bookmarkStart w:id="49" w:name="bookmark54"/>
      <w:bookmarkEnd w:id="47"/>
      <w:r>
        <w:rPr>
          <w:rFonts w:ascii="Times New Roman" w:hAnsi="Times New Roman"/>
        </w:rPr>
        <w:t>Особенности организации ППЭ</w:t>
      </w:r>
      <w:bookmarkEnd w:id="48"/>
      <w:bookmarkEnd w:id="49"/>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ЕГЭ по информатике проводится в компьютерной форме для всех категорий участников, предоставление КИМ КЕГЭ на бумажных носителях (за исключением текстов заданий к КИМ КЕГЭ, выполненных рельефно-точечным шрифтом Брайля) </w:t>
      </w:r>
      <w:r>
        <w:rPr>
          <w:rFonts w:ascii="Times New Roman" w:hAnsi="Times New Roman"/>
          <w:u w:val="single"/>
        </w:rPr>
        <w:t>не предусмотрено</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слепых, поздноослепших слабовидящих участников экзамена, использующих рельефно-точечный шрифт Брайля</w:t>
      </w:r>
      <w:r>
        <w:rPr>
          <w:rFonts w:ascii="Times New Roman" w:hAnsi="Times New Roman"/>
        </w:rPr>
        <w:t>, аудитории ППЭ обеспечиваются компьютерами (ноутбуками), оснащенными портативным тактильным дисплеем Брайля, наушниками (или аудиогарнитурой), специализированным программным обеспечением (программой экранного доступа или программой экранного доступа и увеличения).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Для слабовидящих участников экзамена </w:t>
      </w:r>
      <w:r>
        <w:rPr>
          <w:rFonts w:ascii="Times New Roman" w:hAnsi="Times New Roman"/>
        </w:rPr>
        <w:t>освещенность каждого рабочего места в аудитории должна быть индивидуальной равномерной и не менее 300 люкс. Возможно использование индивидуальных светодиодных средств освещения (настольные лампы) с регулировкой освещения в динамическом диапазоне до 600 люкс, но не менее 300 люкс при отсутствии динамической регулировки. Предоставляемые участникам компьютеры дополнительно оснащаются монитором с диагональю экрана не менее 19 дюймов, наушниками (или аудиогарнитурой), специализированным программным обеспечением (программой экранного увеличения или программой экранного доступа и увеличения).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Для участников с нарушением опорно-двигательного аппарата </w:t>
      </w:r>
      <w:r>
        <w:rPr>
          <w:rFonts w:ascii="Times New Roman" w:hAnsi="Times New Roman"/>
        </w:rPr>
        <w:t>аудитории ППЭ обеспечиваются компьютерами, оснащенными монитором с диагональю экрана не менее 19 дюймов, вспомогательным оборудованием, учитывающим индивидуальные особенности манипулятивных функций, зрительного восприятия и зрительно-моторной координации участника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Для слабослышащих и кохлеарно имплантированных участников экзамена </w:t>
      </w:r>
      <w:r>
        <w:rPr>
          <w:rFonts w:ascii="Times New Roman" w:hAnsi="Times New Roman"/>
        </w:rPr>
        <w:t>аудитории ППЭ оборудуются звукоусиливающей аппаратурой как коллективного, так и индивидуального пользования.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Количество рабочих мест в каждой аудитории для участников КЕГЭ с ОВЗ, детей- инвалидов и инвалидов определяется в зависимости от нозологической группы, используемых ими технических средств.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проведения КЕГЭ для участников экзамена с ОВЗ, участников экзамена - инвалидов и детей-инвалидов необходимо устанавливать версию ПО «Станция КЕГЭ» для участников с ОВЗ с учетом требований, предъявляемых для соответствующих категорий:</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версия для участников с ОВЗ (расширенные настройки) </w:t>
      </w:r>
      <w:r>
        <w:rPr>
          <w:rFonts w:ascii="Times New Roman" w:hAnsi="Times New Roman"/>
        </w:rPr>
        <w:t>устанавливается для слабовидящих участников, участников с нарушениями опорно-двигательного аппарата (при наличии соответствующих рекомендаций ПМПК), слепых и слабовидящих участников экзамена, использующих рельефно-точечный шрифт Брайля для чтения текстов заданий к КИМ, и обеспечивает процедуру сдачи экзамена с увеличенной продолжительностью, а также возможности по расширенной настройке интерфейса ПО для участника;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текстов заданий к КИМ, и обеспечивает возможности по расширенной настройке интерфейса ПО для участника. Указанная версия ПО «Станция КЕГЭ» предоставляется по запросу. Компьютеры с установленной версией</w:t>
      </w:r>
      <w:r>
        <w:rPr>
          <w:rFonts w:ascii="Times New Roman" w:hAnsi="Times New Roman"/>
          <w:b/>
        </w:rPr>
        <w:t xml:space="preserve"> </w:t>
      </w:r>
      <w:r>
        <w:rPr>
          <w:rFonts w:ascii="Times New Roman" w:hAnsi="Times New Roman"/>
        </w:rPr>
        <w:t>для участников с ОВЗ</w:t>
      </w:r>
      <w:r>
        <w:rPr>
          <w:rFonts w:ascii="Times New Roman" w:hAnsi="Times New Roman"/>
          <w:b/>
        </w:rPr>
        <w:t xml:space="preserve"> (</w:t>
      </w:r>
      <w:r>
        <w:rPr>
          <w:rFonts w:ascii="Times New Roman" w:hAnsi="Times New Roman"/>
        </w:rPr>
        <w:t>расширенные</w:t>
      </w:r>
      <w:r>
        <w:rPr>
          <w:rFonts w:ascii="Times New Roman" w:hAnsi="Times New Roman"/>
          <w:b/>
        </w:rPr>
        <w:t xml:space="preserve"> </w:t>
      </w:r>
      <w:r>
        <w:rPr>
          <w:rFonts w:ascii="Times New Roman" w:hAnsi="Times New Roman"/>
        </w:rPr>
        <w:t>настройки</w:t>
      </w:r>
      <w:r>
        <w:rPr>
          <w:rFonts w:ascii="Times New Roman" w:hAnsi="Times New Roman"/>
          <w:b/>
        </w:rPr>
        <w:t xml:space="preserve">) </w:t>
      </w:r>
      <w:r>
        <w:rPr>
          <w:rFonts w:ascii="Times New Roman" w:hAnsi="Times New Roman"/>
        </w:rPr>
        <w:t>должны располагаться в отдельной аудитории, в которой предусмотрена специализированная рассадка;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версия для участников с ОВЗ (стандартные настройки) </w:t>
      </w:r>
      <w:r>
        <w:rPr>
          <w:rFonts w:ascii="Times New Roman" w:hAnsi="Times New Roman"/>
        </w:rPr>
        <w:t>устанавливается для остальных категорий участников, которым не требуются расширенные настройки интерфейса ПО, обеспечивает процедуру сдачи экзамена с увеличенной продолжительностью.</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каждый компьютер (ноутбук) может быть установлена только одна версия ПО «Станция КЕГЭ». Для работы версии для участников с ОВЗ (расширенные настройки) предъявляются увеличенные требования к техническим характеристикам.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В случае проведения экзамена </w:t>
      </w:r>
      <w:r>
        <w:rPr>
          <w:rFonts w:ascii="Times New Roman" w:hAnsi="Times New Roman"/>
          <w:b/>
        </w:rPr>
        <w:t>для слепых и слабовидящих участников экзамена, использующих шрифт Брайля</w:t>
      </w:r>
      <w:r>
        <w:rPr>
          <w:rFonts w:ascii="Times New Roman" w:hAnsi="Times New Roman"/>
        </w:rPr>
        <w:t>, для каждого участника в ППЭ доставляются следующие ЭМ (независимо от способа доставки ЭМ, принятого в субъекте Российской Федерации):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бланк регистрации на бумажном носителе;</w:t>
      </w:r>
    </w:p>
    <w:p>
      <w:pPr>
        <w:pStyle w:val="111"/>
        <w:spacing w:lineRule="auto" w:line="240" w:before="0" w:after="0"/>
        <w:ind w:hanging="0" w:left="740" w:right="0"/>
        <w:contextualSpacing/>
        <w:jc w:val="both"/>
        <w:rPr>
          <w:rFonts w:ascii="Times New Roman" w:hAnsi="Times New Roman"/>
        </w:rPr>
      </w:pPr>
      <w:r>
        <w:rPr>
          <w:rFonts w:ascii="Times New Roman" w:hAnsi="Times New Roman"/>
        </w:rPr>
        <w:t xml:space="preserve">тексты заданий к КИМ, оформленные рельефно-точечным шрифтом Брайля; </w:t>
      </w:r>
    </w:p>
    <w:p>
      <w:pPr>
        <w:pStyle w:val="111"/>
        <w:spacing w:lineRule="auto" w:line="240" w:before="0" w:after="0"/>
        <w:ind w:hanging="0" w:left="740" w:right="0"/>
        <w:contextualSpacing/>
        <w:jc w:val="both"/>
        <w:rPr>
          <w:rFonts w:ascii="Times New Roman" w:hAnsi="Times New Roman"/>
        </w:rPr>
      </w:pPr>
      <w:r>
        <w:rPr>
          <w:rFonts w:ascii="Times New Roman" w:hAnsi="Times New Roman"/>
        </w:rPr>
        <w:t>КИМ для таких участников включен в интернет-пакет.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день экзамена член ГЭК получает со склада организации, обеспечивающей доставку ЭМ в субъект Российской Федерации, бланк регистрации на бумажном носителе, тексты заданий к КИМ, оформленные рельефно-точечным шрифтом Брайля, и черновик для записей рельефно-точечным шрифтом Брайля, представленный в виде тетради, которые он доставляет в ППЭ не позднее 7:30.</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Печать бланков регистрации в ППЭ для участника экзамена в этом случае не выполняется, аудитория должна быть отмечена признаком «Без печати».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ППЭ оснащается следующим оборудованием: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компьютером (ноутбуком), имеющим выход в сеть «Интернет», предназначенным для доступа в личный кабинет ППЭ, в котором обеспечиваются функции взаимодействия со специализированным федеральным порталом;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компьютером (ноутбуком), имеющим выход в сеть «Интернет», с установленным программным обеспечением «Станция авторизации», в котором обеспечиваются функции формирования пароля доступа к КИМ в случае отсутствия доступа в сеть «Интернет» в день проведения экзамена, а также функции взаимодействия с сервером РЦОИ до их включения в личный кабинет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компьютерами (ноутбуками) с установленным ПО «Станция КЕГЭ», версия для участников с ОВЗ (расширенные настройки) и набором стандартного ПО, предоставляемого участнику экзамена во время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Так как КЕГЭ является высокотехнологичным экзаменом и предполагает обязательное использование компьютерной техники со специализированным программным обеспечением для демонстрации КИМ, выполнения ЭР и ввода ответов участника экзамена, в ППЭ на дому, в медицинской организации необходимо обеспечить оснащение указанным минимальным набором оборудования: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компьютером (ноутбуком), имеющим выход в сеть «Интернет», с установленной станцией авторизации и доступом к личному кабинету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компьютером (ноутбуком) с установленным ПО «Станция КЕГЭ» и Станцией организатора с подключенным к нему лазерным принтером и сканером. Также допустимо станцию Штаба ППЭ установить на компьютер (ноутбук) вместе со станциями организатора и КЕГЭ, но не использовать одновременно станцию организатора и станцию Штаба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ППЭ на дому, в медицинской организации необходимо провести процедуры технической подготовки и контроля технической готовности. Указанные процедуры допустимо провести по месту расположения той организации, которой принадлежит используемая техника.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качестве канала доступа к сети «Интернет» рекомендуется использовать USB- модем.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2"/>
        <w:numPr>
          <w:ilvl w:val="0"/>
          <w:numId w:val="3"/>
        </w:numPr>
        <w:tabs>
          <w:tab w:val="clear" w:pos="1281"/>
          <w:tab w:val="left" w:pos="1131" w:leader="none"/>
        </w:tabs>
        <w:spacing w:lineRule="auto" w:line="240" w:before="0" w:after="0"/>
        <w:ind w:firstLine="709" w:left="0" w:right="0"/>
        <w:contextualSpacing/>
        <w:jc w:val="center"/>
        <w:rPr>
          <w:rFonts w:ascii="Times New Roman" w:hAnsi="Times New Roman"/>
        </w:rPr>
      </w:pPr>
      <w:bookmarkStart w:id="50" w:name="__RefHeading___13"/>
      <w:bookmarkStart w:id="51" w:name="bookmark59"/>
      <w:bookmarkStart w:id="52" w:name="bookmark58"/>
      <w:bookmarkEnd w:id="50"/>
      <w:r>
        <w:rPr>
          <w:rFonts w:ascii="Times New Roman" w:hAnsi="Times New Roman"/>
        </w:rPr>
        <w:t>Особенности проведения экзамена в ППЭ</w:t>
      </w:r>
      <w:bookmarkEnd w:id="51"/>
      <w:bookmarkEnd w:id="52"/>
    </w:p>
    <w:p>
      <w:pPr>
        <w:pStyle w:val="211"/>
        <w:keepNext w:val="true"/>
        <w:keepLines/>
        <w:tabs>
          <w:tab w:val="clear" w:pos="708"/>
          <w:tab w:val="left" w:pos="1320" w:leader="none"/>
        </w:tabs>
        <w:spacing w:lineRule="auto" w:line="240" w:before="0" w:after="0"/>
        <w:ind w:hanging="0" w:left="740" w:right="0"/>
        <w:contextualSpacing/>
        <w:jc w:val="both"/>
        <w:rPr>
          <w:rFonts w:ascii="Times New Roman" w:hAnsi="Times New Roman"/>
        </w:rPr>
      </w:pPr>
      <w:r>
        <w:rPr>
          <w:rFonts w:ascii="Times New Roman" w:hAnsi="Times New Roman"/>
        </w:rPr>
      </w:r>
    </w:p>
    <w:p>
      <w:pPr>
        <w:pStyle w:val="Heading3"/>
        <w:keepNext w:val="true"/>
        <w:keepLines/>
        <w:widowControl w:val="false"/>
        <w:numPr>
          <w:ilvl w:val="0"/>
          <w:numId w:val="5"/>
        </w:numPr>
        <w:bidi w:val="0"/>
        <w:spacing w:lineRule="auto" w:line="240" w:before="0" w:after="0"/>
        <w:ind w:firstLine="737" w:left="0" w:right="0"/>
        <w:contextualSpacing/>
        <w:jc w:val="both"/>
        <w:rPr>
          <w:rFonts w:ascii="Times New Roman" w:hAnsi="Times New Roman"/>
        </w:rPr>
      </w:pPr>
      <w:bookmarkStart w:id="53" w:name="__RefHeading___14"/>
      <w:bookmarkStart w:id="54" w:name="bookmark61"/>
      <w:bookmarkStart w:id="55" w:name="bookmark60"/>
      <w:bookmarkEnd w:id="53"/>
      <w:r>
        <w:rPr>
          <w:rFonts w:ascii="Times New Roman" w:hAnsi="Times New Roman"/>
        </w:rPr>
        <w:t>Допуск в ППЭ и рассадка в аудитории</w:t>
      </w:r>
      <w:bookmarkEnd w:id="54"/>
      <w:bookmarkEnd w:id="55"/>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не ранее 08:15 по местному времени проводит инструктаж по процедуре проведения КЕГЭ с работниками ППЭ, на котором выдает организаторам: стандартные формы;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черновики для рельефно-точечного шрифта Брайля на каждого участника экзамена из расчета по десять листов на каждого участника экзамена (</w:t>
      </w:r>
      <w:r>
        <w:rPr>
          <w:rFonts w:ascii="Times New Roman" w:hAnsi="Times New Roman"/>
          <w:b/>
          <w:i/>
        </w:rPr>
        <w:t>для слепых и слабовидящих участников экзамена, использующих шрифт Брайля</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 участника КЕГЭ по одному комплекту на каждого участника экзамена (</w:t>
      </w:r>
      <w:r>
        <w:rPr>
          <w:rFonts w:ascii="Times New Roman" w:hAnsi="Times New Roman"/>
          <w:b/>
          <w:i/>
        </w:rPr>
        <w:t>за исключением слепых и слабовидящих участников экзамена, использующих рельефно-точечный шрифт Брайля, а также слабовидящих участников КЕГЭ и участников КЕГЭ с нарушением опорно-двигательного аппарата, если они нуждаются в масштабированных материалах</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«Обычные» черновики (выдаются по запросу участника, если недостаточно черновика участника КЕГЭ) (</w:t>
      </w:r>
      <w:r>
        <w:rPr>
          <w:rFonts w:ascii="Times New Roman" w:hAnsi="Times New Roman"/>
          <w:b/>
          <w:i/>
        </w:rPr>
        <w:t>за исключением слепых и слабовидящих участников экзамена, использующих рельефно-точечный шрифт Брайля</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приложение к паспорту станции КЕГЭ для соответствующего компьютера (</w:t>
      </w:r>
      <w:r>
        <w:rPr>
          <w:rFonts w:ascii="Times New Roman" w:hAnsi="Times New Roman"/>
          <w:b/>
          <w:i/>
        </w:rPr>
        <w:t>за исключением слабовидящих участников КЕГЭ</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Дополнительно слабовидящим участникам экзамена, а также при необходимости участникам экзамена с нарушениями опорно-двигательного аппарата предоставляются: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масштабированный черновик КЕГЭ</w:t>
      </w:r>
      <w:r>
        <w:rPr>
          <w:rFonts w:ascii="Times New Roman" w:hAnsi="Times New Roman"/>
          <w:i/>
        </w:rPr>
        <w:t>;</w:t>
      </w:r>
    </w:p>
    <w:p>
      <w:pPr>
        <w:pStyle w:val="111"/>
        <w:spacing w:lineRule="auto" w:line="240" w:before="0" w:after="0"/>
        <w:ind w:firstLine="743" w:left="0" w:right="0"/>
        <w:contextualSpacing/>
        <w:jc w:val="both"/>
        <w:rPr>
          <w:rFonts w:ascii="Times New Roman" w:hAnsi="Times New Roman"/>
        </w:rPr>
      </w:pPr>
      <w:r>
        <w:rPr>
          <w:rFonts w:ascii="Times New Roman" w:hAnsi="Times New Roman"/>
        </w:rPr>
        <w:t>масштабированные инструкции по использованию ПО для сдачи КЕГЭ (на каждого участника экзамена);</w:t>
      </w:r>
    </w:p>
    <w:p>
      <w:pPr>
        <w:pStyle w:val="111"/>
        <w:spacing w:lineRule="auto" w:line="240" w:before="0" w:after="0"/>
        <w:ind w:firstLine="743" w:left="0" w:right="0"/>
        <w:contextualSpacing/>
        <w:jc w:val="both"/>
        <w:rPr>
          <w:rFonts w:ascii="Times New Roman" w:hAnsi="Times New Roman"/>
        </w:rPr>
      </w:pPr>
      <w:r>
        <w:rPr>
          <w:rFonts w:ascii="Times New Roman" w:hAnsi="Times New Roman"/>
        </w:rPr>
        <w:t>масштабированные приложения к паспорту станции КЕГЭ для соответствующего компьютера.</w:t>
      </w:r>
    </w:p>
    <w:p>
      <w:pPr>
        <w:pStyle w:val="111"/>
        <w:spacing w:lineRule="auto" w:line="240" w:before="0" w:after="0"/>
        <w:ind w:firstLine="743" w:left="0" w:right="0"/>
        <w:contextualSpacing/>
        <w:jc w:val="both"/>
        <w:rPr>
          <w:rFonts w:ascii="Times New Roman" w:hAnsi="Times New Roman"/>
        </w:rPr>
      </w:pPr>
      <w:r>
        <w:rPr>
          <w:rFonts w:ascii="Times New Roman" w:hAnsi="Times New Roman"/>
        </w:rPr>
        <w:t>При организации ППЭ на дому, в медицинской организации руководитель ППЭ выдает организаторам указанные материалы не позднее чем за 15 минут до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входе ассистентов в ППЭ сотрудники, осуществляющие охрану правопорядка, и (или) сотрудники органов внутренних дел (полиции) совместно с организаторами осуществляют проверку документов, удостоверяющих личность, устанавливают соответствие личности представленным документам, осуществляют проверку наличия ассистентов в списках распределения в данный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 при входе ассистентов в аудиторию должен проверить документы, удостоверяющие их личность, а также указать ассистенту место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Участники экзамена могут взять с собой на отведенное место в аудитории медицинские приборы и препараты, показанные для оказания экстренной медицинской помощи, а также необходимое техническое оборудование для выполнения заданий (лупа или иное увеличительное устройство, специальные чертежные инструменты и др.).</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(наушники или аудиогарнитура, громкость воспроизведения,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участников экзамена с нарушениями опорно-двигательного аппарата:</w:t>
      </w:r>
    </w:p>
    <w:p>
      <w:pPr>
        <w:pStyle w:val="111"/>
        <w:spacing w:lineRule="auto" w:line="240" w:before="0" w:after="0"/>
        <w:ind w:firstLine="740" w:left="0" w:right="0"/>
        <w:contextualSpacing/>
        <w:jc w:val="both"/>
        <w:rPr>
          <w:rFonts w:ascii="Times New Roman" w:hAnsi="Times New Roman"/>
        </w:rPr>
      </w:pPr>
      <w:bookmarkStart w:id="56" w:name="bookmark62"/>
      <w:r>
        <w:rPr>
          <w:rFonts w:ascii="Times New Roman" w:hAnsi="Times New Roman"/>
        </w:rPr>
        <w:t>Ассистент (при наличии) и (или) технический специалист (в случае необходимости) настраивают параметры операционной системы и используемого оборудования (специальные периферические устройства ввода (ножная мышь, роллер, джойстик, головная мышь и др.), увеличение курсора, замедление скорости перемещения курсора, включение опции увеличения области просмотра, прочие необходимые параметры) с учетом индивидуальных возможностей и потребностей участника.</w:t>
      </w:r>
      <w:bookmarkEnd w:id="56"/>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3"/>
        <w:numPr>
          <w:ilvl w:val="0"/>
          <w:numId w:val="5"/>
        </w:numPr>
        <w:spacing w:lineRule="auto" w:line="240" w:before="0" w:after="0"/>
        <w:ind w:firstLine="720" w:left="0" w:right="0"/>
        <w:contextualSpacing/>
        <w:rPr>
          <w:rFonts w:ascii="Times New Roman" w:hAnsi="Times New Roman"/>
        </w:rPr>
      </w:pPr>
      <w:bookmarkStart w:id="57" w:name="__RefHeading___15"/>
      <w:bookmarkStart w:id="58" w:name="bookmark63"/>
      <w:bookmarkStart w:id="59" w:name="bookmark64"/>
      <w:bookmarkEnd w:id="57"/>
      <w:r>
        <w:rPr>
          <w:rFonts w:ascii="Times New Roman" w:hAnsi="Times New Roman"/>
        </w:rPr>
        <w:t>Начало проведения экзамена в аудитории</w:t>
      </w:r>
      <w:bookmarkEnd w:id="58"/>
      <w:bookmarkEnd w:id="59"/>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Не позднее 09:45 по местному времени ответственный организатор в аудитории получает у руководителя ППЭ ЭМ.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Для слепых и слабовидящих участников экзамена, использующих рельефно-точечный шрифт Брайля, </w:t>
      </w:r>
      <w:r>
        <w:rPr>
          <w:rFonts w:ascii="Times New Roman" w:hAnsi="Times New Roman"/>
        </w:rPr>
        <w:t>печать бланков регистрации не выполняется, участникам выдаются ИК, подготовленные с применением технологии Брайль, включающие бумажный бланк регистрации, тексты к заданиям КИМ, напечатанные рельефно-точечным шрифтом Брайля, и черновик для записей рельефно-точечным шрифтом Брайля, представленный в виде</w:t>
      </w:r>
      <w:r>
        <w:rPr>
          <w:rFonts w:ascii="Times New Roman" w:hAnsi="Times New Roman"/>
          <w:spacing w:val="-15"/>
        </w:rPr>
        <w:t xml:space="preserve"> </w:t>
      </w:r>
      <w:r>
        <w:rPr>
          <w:rFonts w:ascii="Times New Roman" w:hAnsi="Times New Roman"/>
        </w:rPr>
        <w:t>тетради.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Бланк регистрации заполняет ассистент или при его отсутствии организатор в аудитории.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 xml:space="preserve">Для слабовидящих участников экзамена </w:t>
      </w:r>
      <w:r>
        <w:rPr>
          <w:rFonts w:ascii="Times New Roman" w:hAnsi="Times New Roman"/>
        </w:rPr>
        <w:t>печать бланков регистрации стандартных размеров и масштабирование бланков регистрации осуществляется в аудитории проведения экзамена не ранее 10:00 по местному времени. В случае нахождения в аудитории вместе со слабовидящими участниками экзамена других участников экзамена с ОВЗ, детей-инвалидов и инвалидов экзамен начинается для всех присутствующих в аудитории одновременно после увеличения бланков регистрации для слабовидящих.</w:t>
      </w:r>
    </w:p>
    <w:p>
      <w:pPr>
        <w:pStyle w:val="111"/>
        <w:spacing w:lineRule="auto" w:line="240" w:before="0" w:after="0"/>
        <w:ind w:firstLine="720" w:left="0" w:right="0"/>
        <w:contextualSpacing/>
        <w:jc w:val="both"/>
        <w:rPr>
          <w:rFonts w:ascii="Times New Roman" w:hAnsi="Times New Roman"/>
        </w:rPr>
      </w:pPr>
      <w:bookmarkStart w:id="60" w:name="bookmark65"/>
      <w:r>
        <w:rPr>
          <w:rFonts w:ascii="Times New Roman" w:hAnsi="Times New Roman"/>
          <w:b/>
        </w:rPr>
        <w:t xml:space="preserve">Глухим, позднооглохшим, кохлеарно имплантированным и слабослышащим участникам экзамена </w:t>
      </w:r>
      <w:r>
        <w:rPr>
          <w:rFonts w:ascii="Times New Roman" w:hAnsi="Times New Roman"/>
        </w:rPr>
        <w:t>выдаются правила по заполнению бланков регистрации в распечатанном виде.</w:t>
      </w:r>
      <w:bookmarkEnd w:id="60"/>
    </w:p>
    <w:p>
      <w:pPr>
        <w:pStyle w:val="111"/>
        <w:spacing w:lineRule="auto" w:line="240" w:before="0" w:after="0"/>
        <w:ind w:firstLine="720" w:left="0" w:right="0"/>
        <w:contextualSpacing/>
        <w:jc w:val="both"/>
        <w:rPr>
          <w:rFonts w:ascii="Times New Roman" w:hAnsi="Times New Roman"/>
        </w:rPr>
      </w:pPr>
      <w:r>
        <w:rPr>
          <w:rFonts w:ascii="Times New Roman" w:hAnsi="Times New Roman"/>
        </w:rPr>
      </w:r>
    </w:p>
    <w:p>
      <w:pPr>
        <w:pStyle w:val="Heading3"/>
        <w:numPr>
          <w:ilvl w:val="0"/>
          <w:numId w:val="5"/>
        </w:numPr>
        <w:spacing w:lineRule="auto" w:line="240" w:before="0" w:after="0"/>
        <w:ind w:firstLine="720" w:left="0" w:right="0"/>
        <w:contextualSpacing/>
        <w:rPr>
          <w:rFonts w:ascii="Times New Roman" w:hAnsi="Times New Roman"/>
        </w:rPr>
      </w:pPr>
      <w:bookmarkStart w:id="61" w:name="__RefHeading___16"/>
      <w:bookmarkStart w:id="62" w:name="bookmark67"/>
      <w:bookmarkStart w:id="63" w:name="bookmark66"/>
      <w:bookmarkEnd w:id="61"/>
      <w:r>
        <w:rPr>
          <w:rFonts w:ascii="Times New Roman" w:hAnsi="Times New Roman"/>
        </w:rPr>
        <w:t>Проведение экзамена в аудитории</w:t>
      </w:r>
      <w:bookmarkEnd w:id="62"/>
      <w:bookmarkEnd w:id="63"/>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Продолжительность экзамена для участников экзамена с ОВЗ, детей-инвалидов и инвалидов увеличивается на 1,5 часа. Если участник экзамена выполнил работу ранее установленного времени, то организаторы принимают ЭМ до окончания экзамена. При этом участники экзамена могут покинуть аудиторию и ППЭ.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Во время проведения экзамена для участников экзамена с ОВЗ, детей-инвалидов и инвалидов организуется питание и перерывы для проведения необходимых лечебных и профилактических мероприятий.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Для выполнения ЭР КЕГЭ участники используют компьютеры, оснащенные специализированным программным обеспечением в соответствии с подпунктом 3.5 настоящих инструкций.</w:t>
      </w:r>
    </w:p>
    <w:p>
      <w:pPr>
        <w:pStyle w:val="111"/>
        <w:spacing w:lineRule="auto" w:line="240" w:before="0" w:after="0"/>
        <w:ind w:firstLine="720" w:left="0" w:right="0"/>
        <w:contextualSpacing/>
        <w:jc w:val="both"/>
        <w:rPr>
          <w:rFonts w:ascii="Times New Roman" w:hAnsi="Times New Roman"/>
        </w:rPr>
      </w:pPr>
      <w:bookmarkStart w:id="64" w:name="bookmark68"/>
      <w:r>
        <w:rPr>
          <w:rFonts w:ascii="Times New Roman" w:hAnsi="Times New Roman"/>
        </w:rPr>
        <w:t>Выполнение ЭР КЕГЭ предусматривает ввод ответов участника в специализированное ПО «Станция КЕГЭ», перенос ответов участника экзамена ассистентом не требуется.</w:t>
      </w:r>
      <w:bookmarkEnd w:id="64"/>
    </w:p>
    <w:p>
      <w:pPr>
        <w:pStyle w:val="111"/>
        <w:spacing w:lineRule="auto" w:line="240" w:before="0" w:after="0"/>
        <w:ind w:firstLine="720" w:left="0" w:right="0"/>
        <w:contextualSpacing/>
        <w:jc w:val="both"/>
        <w:rPr>
          <w:rFonts w:ascii="Times New Roman" w:hAnsi="Times New Roman"/>
        </w:rPr>
      </w:pPr>
      <w:r>
        <w:rPr>
          <w:rFonts w:ascii="Times New Roman" w:hAnsi="Times New Roman"/>
        </w:rPr>
      </w:r>
    </w:p>
    <w:p>
      <w:pPr>
        <w:pStyle w:val="Heading3"/>
        <w:numPr>
          <w:ilvl w:val="0"/>
          <w:numId w:val="5"/>
        </w:numPr>
        <w:spacing w:lineRule="auto" w:line="240" w:before="0" w:after="0"/>
        <w:ind w:firstLine="720" w:left="0" w:right="0"/>
        <w:contextualSpacing/>
        <w:rPr>
          <w:rFonts w:ascii="Times New Roman" w:hAnsi="Times New Roman"/>
        </w:rPr>
      </w:pPr>
      <w:bookmarkStart w:id="65" w:name="__RefHeading___17"/>
      <w:bookmarkStart w:id="66" w:name="bookmark70"/>
      <w:bookmarkStart w:id="67" w:name="bookmark69"/>
      <w:bookmarkEnd w:id="65"/>
      <w:r>
        <w:rPr>
          <w:rFonts w:ascii="Times New Roman" w:hAnsi="Times New Roman"/>
        </w:rPr>
        <w:t>Завершение экзамена в аудитории</w:t>
      </w:r>
      <w:bookmarkEnd w:id="66"/>
      <w:bookmarkEnd w:id="67"/>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 истечении времени, отведенного на проведение экзамена, ответственный организатор объявляет, что экзамен окончен. Ассистент помогает участнику завершить экзамен на станции КЕГЭ, в том числе досрочно. Затем ассистент сообщает участнику и переносит в бланк регистрации контрольную сумму, отображенную на станции КЕГЭ, приглашает организатора, который убеждается, что станция КЕГЭ находится на странице «Экзамен завершён», а также убеждается в правильности переноса контрольной суммы и удостоверяет данное действие своей подписью на бланке регистрации участника в специально отведённом поле. Заполненный бланк регистрации, текст заданий к КИМ, черновик для записей рельефно-точечным шрифтом Брайля, представленный в виде тетради, и черновики (по технологии Брайля) кладет на край рабочего стола.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Организаторы в аудитории самостоятельно собирают у участников экзамена ЭМ (бланки регистрации, черновики (по технологии Брайля), текст заданий к КИМ, черновик для записей рельефно-точечным шрифтом Брайля, представленный в виде тетради).</w:t>
      </w:r>
    </w:p>
    <w:p>
      <w:pPr>
        <w:pStyle w:val="111"/>
        <w:spacing w:lineRule="auto" w:line="240" w:before="0" w:after="0"/>
        <w:ind w:firstLine="720" w:left="0" w:right="0"/>
        <w:contextualSpacing/>
        <w:jc w:val="both"/>
        <w:rPr>
          <w:rFonts w:ascii="Times New Roman" w:hAnsi="Times New Roman"/>
        </w:rPr>
      </w:pPr>
      <w:r>
        <w:rPr>
          <w:rFonts w:ascii="Times New Roman" w:hAnsi="Times New Roman"/>
          <w:u w:val="single"/>
        </w:rPr>
        <w:t>По итогам сбора ЭМ у участников экзамена организатор формирует и запечатывает в пакеты материалы по следующим категориям: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бланки регистрации;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черновики и черновики для записей рельефно-точечным шрифтом Брайля, представленный в виде тетради;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текст заданий к КИМ.</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Сканирование бланков регистрации в аудитории не проводится.</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слабовидящих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 истечении времени, отведенного на проведение экзамена, ответственный организатор объявляет, что экзамен окончен, необходимо завершить экзамен на станции КЕГЭ и перенести контрольную сумму в бланк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случае использования масштабированных до формата А3 бланков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Организаторы в аудитории самостоятельно собирают у участников экзамена черновик участника КЕГЭ, черновики (при наличии) и пересчитывают их. Бланки регистрации остаются на рабочих местах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присутствии общественных наблюдателей (при наличии) и члена ГЭК ассистенты переносят информацию, включая контрольную сумму, с масштабированных до формата А3 бланков регистрации на стандартные бланки регистрации, приглашают организатора, который убеждается в правильности переноса контрольной суммы и удостоверяет данное действие своей подписью на бланке регистрации участника в специально отведённом поле. При переносе информации на бланк регистрации стандартного размера в поле «Подпись участника» ассистент пишет «Копия верна» и ставит свою подпись.</w:t>
      </w:r>
    </w:p>
    <w:p>
      <w:pPr>
        <w:pStyle w:val="111"/>
        <w:spacing w:lineRule="auto" w:line="240" w:before="0" w:after="0"/>
        <w:ind w:firstLine="740" w:left="0" w:right="0"/>
        <w:contextualSpacing/>
        <w:jc w:val="both"/>
        <w:rPr>
          <w:rFonts w:ascii="Times New Roman" w:hAnsi="Times New Roman"/>
        </w:rPr>
      </w:pPr>
      <w:bookmarkStart w:id="68" w:name="bookmark71"/>
      <w:r>
        <w:rPr>
          <w:rFonts w:ascii="Times New Roman" w:hAnsi="Times New Roman"/>
        </w:rPr>
        <w:t>По окончании переноса информации слабовидящих участников экзамена на бланки регистрации стандартного размера организатор производит их сканирование и после экспорта пакета со станции организатора запечатывает бланки регистрации в стандартные ВДП. Масштабированные бланки регистрации запечатываются в пакеты формата А3.</w:t>
      </w:r>
      <w:bookmarkEnd w:id="68"/>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3"/>
        <w:numPr>
          <w:ilvl w:val="0"/>
          <w:numId w:val="5"/>
        </w:numPr>
        <w:spacing w:lineRule="auto" w:line="240" w:before="0" w:after="0"/>
        <w:ind w:firstLine="720" w:left="0" w:right="0"/>
        <w:contextualSpacing/>
        <w:rPr>
          <w:rFonts w:ascii="Times New Roman" w:hAnsi="Times New Roman"/>
        </w:rPr>
      </w:pPr>
      <w:bookmarkStart w:id="69" w:name="__RefHeading___18"/>
      <w:bookmarkStart w:id="70" w:name="bookmark73"/>
      <w:bookmarkStart w:id="71" w:name="bookmark72"/>
      <w:bookmarkEnd w:id="69"/>
      <w:r>
        <w:rPr>
          <w:rFonts w:ascii="Times New Roman" w:hAnsi="Times New Roman"/>
        </w:rPr>
        <w:t>Особенности завершающего этапа проведения экзамена в ППЭ для отдельных категорий участников</w:t>
      </w:r>
      <w:bookmarkEnd w:id="70"/>
      <w:bookmarkEnd w:id="71"/>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в присутствии члена ГЭК должен по окончании экзамена получить от всех ответственных организаторов по аудиториям:</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Из аудитории для слепых и слабовидящих участников экзамена, использующих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бланки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тексты заданий к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черновики (по технологии Брайля) и черновики для записей рельефно-точечным шрифтом Брайля, представленные в виде тетради;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прочие выданные на аудиторию материалы.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Организуется сканирование бланков регистрации на станции Штаба в Штабе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Из аудитории 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запечатанные ВДП с бланками регистрации (масштабированными - в конверте формата А3; стандартными - в стандартном ВДП);</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 xml:space="preserve">использованные и неиспользованные черновики участника КЕГЭ и черновики (при наличии); </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прочие выданные на аудиторию материалы.</w:t>
      </w:r>
    </w:p>
    <w:p>
      <w:pPr>
        <w:pStyle w:val="111"/>
        <w:spacing w:lineRule="auto" w:line="240" w:before="0" w:after="0"/>
        <w:ind w:firstLine="740" w:left="0" w:right="0"/>
        <w:contextualSpacing/>
        <w:jc w:val="both"/>
        <w:rPr>
          <w:rFonts w:ascii="Times New Roman" w:hAnsi="Times New Roman"/>
        </w:rPr>
      </w:pPr>
      <w:bookmarkStart w:id="72" w:name="bookmark75"/>
      <w:bookmarkStart w:id="73" w:name="bookmark74"/>
      <w:r>
        <w:rPr>
          <w:rFonts w:ascii="Times New Roman" w:hAnsi="Times New Roman"/>
        </w:rPr>
        <w:t>В случае проведения экзамена для участников экзамена с ОВЗ, участников экзамена - детей-инвалидов и инвалидов в отдельной аудитории ППЭ по окончании экзамена руководитель ППЭ передает члену ГЭК ЭМ из аудитории для участников экзамена с ОВЗ, участников экзамена - детей-инвалидов и инвалидов (отдельно от материалов, сданных из ППЭ по окончании экзамена для основной части участников экзамена). При проведении в ППЭ сканирования бланков регистрации (в аудиториях) и форм ППЭ (в Штабе ППЭ) данные материалы из специальной аудитории могут быть отсканированы и переданы в РЦОИ отдельным пакетом. Хранение и передача ЭМ осуществляется в общем порядке.</w:t>
      </w:r>
      <w:bookmarkEnd w:id="72"/>
      <w:bookmarkEnd w:id="73"/>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2"/>
        <w:keepNext w:val="true"/>
        <w:keepLines/>
        <w:widowControl w:val="false"/>
        <w:numPr>
          <w:ilvl w:val="0"/>
          <w:numId w:val="3"/>
        </w:numPr>
        <w:bidi w:val="0"/>
        <w:spacing w:lineRule="auto" w:line="240" w:before="0" w:after="0"/>
        <w:ind w:firstLine="737" w:left="0" w:right="0"/>
        <w:contextualSpacing/>
        <w:jc w:val="left"/>
        <w:rPr>
          <w:rFonts w:ascii="Times New Roman" w:hAnsi="Times New Roman"/>
        </w:rPr>
      </w:pPr>
      <w:bookmarkStart w:id="74" w:name="__RefHeading___19"/>
      <w:bookmarkStart w:id="75" w:name="bookmark77"/>
      <w:bookmarkStart w:id="76" w:name="bookmark76"/>
      <w:bookmarkEnd w:id="74"/>
      <w:r>
        <w:rPr>
          <w:rFonts w:ascii="Times New Roman" w:hAnsi="Times New Roman"/>
        </w:rPr>
        <w:t>Памятки для лиц, привлекаемых к проведению ЕГЭ в ППЭ</w:t>
      </w:r>
      <w:bookmarkEnd w:id="75"/>
      <w:bookmarkEnd w:id="76"/>
    </w:p>
    <w:p>
      <w:pPr>
        <w:pStyle w:val="31"/>
        <w:keepNext w:val="true"/>
        <w:keepLines/>
        <w:spacing w:lineRule="auto" w:line="240" w:before="0" w:after="0"/>
        <w:contextualSpacing/>
        <w:jc w:val="both"/>
        <w:rPr>
          <w:rFonts w:ascii="Times New Roman" w:hAnsi="Times New Roman"/>
        </w:rPr>
      </w:pPr>
      <w:r>
        <w:rPr>
          <w:rFonts w:ascii="Times New Roman" w:hAnsi="Times New Roman"/>
        </w:rPr>
      </w:r>
    </w:p>
    <w:p>
      <w:pPr>
        <w:pStyle w:val="Heading3"/>
        <w:numPr>
          <w:ilvl w:val="2"/>
          <w:numId w:val="4"/>
        </w:numPr>
        <w:spacing w:lineRule="auto" w:line="240" w:before="0" w:after="0"/>
        <w:ind w:firstLine="709" w:left="0" w:right="0"/>
        <w:contextualSpacing/>
        <w:rPr>
          <w:rFonts w:ascii="Times New Roman" w:hAnsi="Times New Roman"/>
        </w:rPr>
      </w:pPr>
      <w:bookmarkStart w:id="77" w:name="__RefHeading___20"/>
      <w:bookmarkStart w:id="78" w:name="bookmark79"/>
      <w:bookmarkStart w:id="79" w:name="bookmark78"/>
      <w:bookmarkEnd w:id="77"/>
      <w:r>
        <w:rPr>
          <w:rFonts w:ascii="Times New Roman" w:hAnsi="Times New Roman"/>
        </w:rPr>
        <w:t>Памятка для технического специалиста при проведении КЕГЭ для лиц с ОВЗ, детей-инвалидов и инвалидов</w:t>
      </w:r>
      <w:bookmarkEnd w:id="78"/>
      <w:bookmarkEnd w:id="79"/>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Технический специалист проводит техническую подготовку, контроль технической готовности ППЭ, а также проведение и завершение экзамена в соответствии с инструкцией для технического специалиста ППЭ с учетом особенностей, описанных в настоящей памятке.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5 календарных дней </w:t>
      </w:r>
      <w:r>
        <w:rPr>
          <w:rFonts w:ascii="Times New Roman" w:hAnsi="Times New Roman"/>
        </w:rPr>
        <w:t>до проведения экзамена технический специалист получает информацию из РЦОИ о номерах задействованных аудиторий и количестве станций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2 рабочих дня </w:t>
      </w:r>
      <w:r>
        <w:rPr>
          <w:rFonts w:ascii="Times New Roman" w:hAnsi="Times New Roman"/>
        </w:rPr>
        <w:t>до проведения экзамена технический специалист получает от руководителя ППЭ информацию о количестве участников экзамена с ОВЗ, детей- инвалидов и инвалидов в ППЭ и о необходимости организации проведения экзаменов в условиях, учитывающих состояние их здоровья, особенности психофизического развития. На основании полученных сведений технический специалист обеспечивает установку и настройку дополнительного специализированного программного обеспечения и оборудования с учетом индивидуальных возможностей, и потребностей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w:t>
      </w:r>
    </w:p>
    <w:p>
      <w:pPr>
        <w:pStyle w:val="111"/>
        <w:spacing w:lineRule="auto" w:line="240" w:before="0" w:after="0"/>
        <w:ind w:firstLine="20" w:left="720" w:right="0"/>
        <w:contextualSpacing/>
        <w:jc w:val="both"/>
        <w:rPr>
          <w:rFonts w:ascii="Times New Roman" w:hAnsi="Times New Roman"/>
        </w:rPr>
      </w:pPr>
      <w:r>
        <w:rPr>
          <w:rFonts w:ascii="Times New Roman" w:hAnsi="Times New Roman"/>
        </w:rPr>
        <w:t>Для каждого участника указанной категории в ППЭ доставляются следующие ЭМ: бумажный бланк регистрации (в день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тексты заданий к КИМ, оформленные рельефно-точечным шрифтом Брайля (в день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 для записей рельефно-точечным шрифтом Брайля, представленный в виде тетради (в день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технической подготовки ППЭ </w:t>
      </w:r>
      <w:r>
        <w:rPr>
          <w:rFonts w:ascii="Times New Roman" w:hAnsi="Times New Roman"/>
        </w:rPr>
        <w:t>(не позднее чем за 5 календарных дней до проведения экзамена) технический специалист получает из РЦОИ дополнительные дистрибутивы: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«Станция КЕГЭ», версия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проводит техническую подготовку станций КЕГЭ для </w:t>
      </w:r>
      <w:r>
        <w:rPr>
          <w:rFonts w:ascii="Times New Roman" w:hAnsi="Times New Roman"/>
          <w:b/>
        </w:rPr>
        <w:t>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соответствие технических характеристик компьютеров (ноутбуков), предназначенных для установки ПО «Станция КЕГЭ», предъявляемым требованиям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подготавливает и настраивает специализированное оборудование в соответствии с рекомендациями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наушники (аудиогарнитуру);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портативный тактильный дисплей Брайля типа Focus 40 Blue или его аналог;</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устанавливает и настраивает программу экранного доступа или программу экранного доступа и увеличения;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устанавливает ПО «Станция КЕГЭ», версия для участников с ОВЗ (расширенные настройки) на все компьютеры (ноутбуки), предназначенные для использования при проведении экзаменов для данной категории участников, включая резервные;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проведении проверки технического КИМ дополнительно проверяет взаимодействие установленной программы экранного доступа (программы экранного доступа и увеличения) с ПО «Станция КЕГЭ» в части озвучивания элементов интерфейса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Станция организатора в аудиторию ППЭ, в которой проводится экзамен только для слепых и слабовидящих участников экзамена, использующих рельефно-точечный шрифт Брайля, </w:t>
      </w:r>
      <w:r>
        <w:rPr>
          <w:rFonts w:ascii="Times New Roman" w:hAnsi="Times New Roman"/>
          <w:u w:val="single"/>
        </w:rPr>
        <w:t>не устанавливается,</w:t>
      </w:r>
      <w:r>
        <w:rPr>
          <w:rFonts w:ascii="Times New Roman" w:hAnsi="Times New Roman"/>
        </w:rPr>
        <w:t xml:space="preserve"> печать бланков регистрации и их сканирование по окончании экзамена не выполняются.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технический специалист демонстрирует члену ГЭК и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специализированного оборудования и ПО, необходимого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станцию (станции) КЕГЭ, установленную в режиме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возможность работы с техническим КИМ, в том числе с использованием специализированного ПО, установленного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технический специалист оказывает содействие (при необходимости) ассистентам участника в части настройки используемого оборудования (громкость воспроизведения наушников (аудиогарнитуры),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По окончании экзамена </w:t>
      </w:r>
      <w:r>
        <w:rPr>
          <w:rFonts w:ascii="Times New Roman" w:hAnsi="Times New Roman"/>
        </w:rPr>
        <w:t>производит сканирование бланков регистрации в Штабе ППЭ (в случае использования технологии доставки ЭМ на электронных носителях сканирование производится при соответствующем решении ГЭК).</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слабовидящих и кохлеарно имплантированных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проведения экзамена используются стандартные ЭМ, предоставляемые в ППЭ по сети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технической подготовки ППЭ </w:t>
      </w:r>
      <w:r>
        <w:rPr>
          <w:rFonts w:ascii="Times New Roman" w:hAnsi="Times New Roman"/>
        </w:rPr>
        <w:t>(не позднее чем за 5 календарных дней до проведения экзамена) технический специалист проводит техническую подготовку станций КЕГЭ 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получает из РЦОИ дополнительные дистрибутивы: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«Станция КЕГЭ», версия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соответствие технических характеристик компьютеров (ноутбуков), предназначенных для установки ПО «Станция КЕГЭ», предъявляемым требованиям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подготавливает и настраивает специализированное оборудование в соответствии с рекомендациями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наушники (аудиогарнитуру);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электронное увеличивающее устройство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устанавливает и настраивает программу экранного увеличения или программу экранного доступа и увеличения;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устанавливает ПО «Станция КЕГЭ», версия для участников с ОВЗ (расширенные настройки) на все компьютеры (ноутбуки), предназначенные для использования при проведении экзаменов для данной категории участников, включая резервные;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проведении проверки тестового КИМ дополнительно проверяет взаимодействие установленной программы экранного увеличения (программы экранного доступа и увеличения) с ПО «Станция КЕГЭ» в части озвучивания и увеличения элементов интерфейса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технический специалист демонстрирует члену ГЭК и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специализированного оборудования и программного обеспечения, необходимого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станцию (станции) КЕГЭ, установленную в режиме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возможность работы с тестовым КИМ, в том числе с использованием специализированного программного обеспечения, установленного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технический специалист оказывает содействие (при необходимости) ассистентам участников в части настройки параметров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участников экзамена с нарушениями опорно-двигательного аппарата: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проведения экзамена используются стандартные ЭМ, предоставляемые в ППЭ по сети «Интернет».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технической подготовки ППЭ </w:t>
      </w:r>
      <w:r>
        <w:rPr>
          <w:rFonts w:ascii="Times New Roman" w:hAnsi="Times New Roman"/>
        </w:rPr>
        <w:t>(не позднее чем за 5 календарных дней до проведения экзамена) технический специалист проводит техническую подготовку станций КЕГЭ для участников экзамена с нарушениями опорно-двигательного аппарата: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наличии соответствующих рекомендаций ПМПК к настройке компьютера (ноутбука) получить из РЦОИ дополнительные дистрибутивы: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 «Станция КЕГЭ», версия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проверяет соответствие технических характеристик компьютеров (ноутбуков), предназначенных для установки ПО «Станция КЕГЭ», предъявляемым требованиям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подготавливает и настраивает специализированное оборудование с учетом индивидуальных потребностей участников в соответствии с рекомендациями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устанавливает ПО «Станция КЕГЭ», версия для участников с ОВЗ (расширенные настройки) на все компьютеры (ноутбуки), предназначенные для использования при проведении экзаменов для данной категории участников, включая резервные, для участников с ОВЗ при наличии соответствующих рекомендаций ПМПК к настройке компьютера (ноутбука), в случае отсутствия соответствующих рекомендаций ПМПК для участника устанавливается стандартная версия ПО «Станция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 проведении проверки тестового КИМ дополнительно проверяет взаимодействие специализированного оборудования с ПО «Станция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w:t>
      </w:r>
      <w:r>
        <w:rPr>
          <w:rFonts w:ascii="Times New Roman" w:hAnsi="Times New Roman"/>
        </w:rPr>
        <w:t>(</w:t>
      </w:r>
      <w:r>
        <w:rPr>
          <w:rFonts w:ascii="Times New Roman" w:hAnsi="Times New Roman"/>
          <w:b/>
        </w:rPr>
        <w:t>не ранее чем за 2 рабочих дня, но не позднее 16:00 по местному времени календарного дня, предшествующего экзамену</w:t>
      </w:r>
      <w:r>
        <w:rPr>
          <w:rFonts w:ascii="Times New Roman" w:hAnsi="Times New Roman"/>
        </w:rPr>
        <w:t>) технический специалист демонстрирует члену ГЭК и руководителю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специализированного оборудования, необходимого для указанной категории участников, с учетом индивидуальных потребностей участников: специальные периферические устройства ввода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 др.);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станцию (станции) КЕГЭ, установленную в режиме для участников с ОВЗ (расширенные настройки) при наличии соответствующих рекомендаций ПМПК к настройке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возможность работы с тестовым КИМ, в том числе с использованием специализированного оборудования, установленного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технический специалист оказывает содействие (при необходимости) ассистентам участников в части настройки параметров операционной системы и используемого оборудования (специальные периферические устройства ввода (ножная мышь, роллер, джойстик, головная мышь и др.), увеличение курсора, замедление скорости перемещения курсора, включение опции увеличения области просмотра, прочие необходимые параметры) с учетом индивидуальных возможностей и потребностей участника.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прочих категорий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Для проведения экзамена используются стандартные ЭМ, предоставляемые в ППЭ по сети «Интернет», а также стандартная версия ПО «Станция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r>
    </w:p>
    <w:p>
      <w:pPr>
        <w:pStyle w:val="Heading3"/>
        <w:numPr>
          <w:ilvl w:val="2"/>
          <w:numId w:val="4"/>
        </w:numPr>
        <w:spacing w:lineRule="auto" w:line="240" w:before="0" w:after="0"/>
        <w:ind w:firstLine="709" w:left="0" w:right="0"/>
        <w:contextualSpacing/>
        <w:rPr>
          <w:rFonts w:ascii="Times New Roman" w:hAnsi="Times New Roman"/>
        </w:rPr>
      </w:pPr>
      <w:bookmarkStart w:id="80" w:name="__RefHeading___21"/>
      <w:bookmarkStart w:id="81" w:name="bookmark82"/>
      <w:bookmarkStart w:id="82" w:name="bookmark81"/>
      <w:bookmarkEnd w:id="80"/>
      <w:r>
        <w:rPr>
          <w:rFonts w:ascii="Times New Roman" w:hAnsi="Times New Roman"/>
        </w:rPr>
        <w:t>Памятка для руководителя ППЭ при проведении КЕГЭ для лиц с ОВЗ, детей-инвалидов и инвалидов</w:t>
      </w:r>
      <w:bookmarkEnd w:id="81"/>
      <w:bookmarkEnd w:id="82"/>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обеспечивает проведение технической подготовки, контроля технической готовности ППЭ, а также проведение и завершение экзамена в соответствии с инструкцией для руководителя ППЭ, с учетом особенностей, описанных в настоящей памятке.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Подготовка к проведению 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2 рабочих дня </w:t>
      </w:r>
      <w:r>
        <w:rPr>
          <w:rFonts w:ascii="Times New Roman" w:hAnsi="Times New Roman"/>
        </w:rPr>
        <w:t>до проведения экзамена руководитель ППЭ получает от Министерства образования и передает техническому специалисту:</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информацию о количестве участников экзамена с ОВЗ, детей-инвалидов и инвалидов в ППЭ и о необходимости организации проведения экзаменов в условиях, учитывающих состояние их здоровья, особенности психофизического развития. На основании полученных сведений технический специалист обеспечивает установку и настройку дополнительного специализированного программного обеспечения и оборудования с учетом индивидуальных возможностей, и потребностей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Руководитель ППЭ </w:t>
      </w:r>
      <w:r>
        <w:rPr>
          <w:rFonts w:ascii="Times New Roman" w:hAnsi="Times New Roman"/>
          <w:u w:val="single"/>
        </w:rPr>
        <w:t>совместно с руководителем организации</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обеспечивают готовность ППЭ к проведению ЕГЭ в соответствии с требованиями к ППЭ, изложенными в региональных инструкциях по подготовке и проведению единого государственного экзамена в пунктах проведения экзаменов в 2026 году, в настоящих инструкциях, в том числе в части технического оснащения.</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один календарный день до проведения экзамена </w:t>
      </w:r>
      <w:r>
        <w:rPr>
          <w:rFonts w:ascii="Times New Roman" w:hAnsi="Times New Roman"/>
        </w:rPr>
        <w:t>проверить наличие:</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аудиторий, необходимых для проведения ЕГЭ для участников экзамена с ОВЗ, детей-инвалидов и инвалидов;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отдельного места для хранения личных вещей организаторов ППЭ, медицинского работника, ассистентов для участников экзамена с ОВЗ, детей-инвалидов и инвалидов, которое расположено до входа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Руководитель ППЭ </w:t>
      </w:r>
      <w:r>
        <w:rPr>
          <w:rFonts w:ascii="Times New Roman" w:hAnsi="Times New Roman"/>
          <w:b/>
        </w:rPr>
        <w:t xml:space="preserve">не позднее чем за один календарный день до проведения экзамена </w:t>
      </w:r>
      <w:r>
        <w:rPr>
          <w:rFonts w:ascii="Times New Roman" w:hAnsi="Times New Roman"/>
        </w:rPr>
        <w:t>подготавливает: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 участника КЕГЭ по одному комплекту на каждого участника экзамена (за исключением слепых и слабовидящих участников экзамена, использующих шрифт Брайля, а также слабовидящих участников КЕГЭ и участников КЕГЭ с нарушениями опорнодвигательного аппарата, если они нуждаются в масштабированных материалах);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черновики не менее двух на каждого участника экзамена (за исключением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инструкции по использованию ПО для сдачи КЕГЭ (для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масштабированный черновик КЕГЭ (для слабовидящих участников КЕГЭ и участников КЕГЭ с нарушениями опорно-двигательного аппарата если они нуждаются в масштабированных материалах);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приложение к паспорту станции КЕГЭ для соответствующего компьютера (за исключением слабовидящих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масштабированное приложение к паспорту станции КЕГЭ для соответствующего компьютера (для слабовидящих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Руководитель ППЭ </w:t>
      </w:r>
      <w:r>
        <w:rPr>
          <w:rFonts w:ascii="Times New Roman" w:hAnsi="Times New Roman"/>
          <w:b/>
        </w:rPr>
        <w:t xml:space="preserve">не позднее чем за один календарный день до проведения экзамена </w:t>
      </w:r>
      <w:r>
        <w:rPr>
          <w:rFonts w:ascii="Times New Roman" w:hAnsi="Times New Roman"/>
        </w:rPr>
        <w:t>подготавливает: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черновики из расчета по 10 листов для письма по системе Брайля на каждого участника экзамена (для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связи с выполнением ЭР и вводом ответов на компьютере памятка для слепых и слабовидящих участников экзамена по заполнению рельефноточечным шрифтом Брайля тетрадей для ответов на задания не предусмотрена. Подготовка помещения для работы комиссии тифлопереводчиков при проведении КЕГЭ не требуется.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Станция организатора в аудиторию ППЭ, в которой проводится экзамен только для слепых и слабовидящих участников экзамена, использующих рельефноточечный шрифт Брайля, </w:t>
      </w:r>
      <w:r>
        <w:rPr>
          <w:rFonts w:ascii="Times New Roman" w:hAnsi="Times New Roman"/>
          <w:u w:val="single"/>
        </w:rPr>
        <w:t>не устанавливается,</w:t>
      </w:r>
      <w:r>
        <w:rPr>
          <w:rFonts w:ascii="Times New Roman" w:hAnsi="Times New Roman"/>
        </w:rPr>
        <w:t xml:space="preserve"> печать бланков регистрации и их сканирование по окончании экзамена не выполняются.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w:t>
      </w:r>
      <w:r>
        <w:rPr>
          <w:rFonts w:ascii="Times New Roman" w:hAnsi="Times New Roman"/>
        </w:rPr>
        <w:t>(</w:t>
      </w:r>
      <w:r>
        <w:rPr>
          <w:rFonts w:ascii="Times New Roman" w:hAnsi="Times New Roman"/>
          <w:b/>
        </w:rPr>
        <w:t xml:space="preserve">не ранее чем за 2 рабочих дня, но не позднее 16:00 </w:t>
      </w:r>
      <w:r>
        <w:rPr>
          <w:rFonts w:ascii="Times New Roman" w:hAnsi="Times New Roman"/>
        </w:rPr>
        <w:t>по местному времени календарного дня, предшествующего экзамену) совместно с членом ГЭК и техническим специалистом контролирует: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следующего специализированного оборудования и программного обеспечения, необходимого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наушники (аудиогарнитура);</w:t>
      </w:r>
    </w:p>
    <w:p>
      <w:pPr>
        <w:pStyle w:val="111"/>
        <w:spacing w:lineRule="auto" w:line="240" w:before="0" w:after="0"/>
        <w:ind w:firstLine="740" w:left="0" w:right="0"/>
        <w:contextualSpacing/>
        <w:rPr>
          <w:rFonts w:ascii="Times New Roman" w:hAnsi="Times New Roman"/>
        </w:rPr>
      </w:pPr>
      <w:r>
        <w:rPr>
          <w:rFonts w:ascii="Times New Roman" w:hAnsi="Times New Roman"/>
        </w:rPr>
        <w:t xml:space="preserve">портативный тактильный дисплей Брайля типа Focus 40 Blue или его аналог; </w:t>
      </w:r>
    </w:p>
    <w:p>
      <w:pPr>
        <w:pStyle w:val="111"/>
        <w:spacing w:lineRule="auto" w:line="240" w:before="0" w:after="0"/>
        <w:ind w:firstLine="740" w:left="0" w:right="0"/>
        <w:contextualSpacing/>
        <w:rPr>
          <w:rFonts w:ascii="Times New Roman" w:hAnsi="Times New Roman"/>
        </w:rPr>
      </w:pPr>
      <w:r>
        <w:rPr>
          <w:rFonts w:ascii="Times New Roman" w:hAnsi="Times New Roman"/>
        </w:rPr>
        <w:t>программа экранного доступа или программа экранного доступа и увеличения. соответствие технических характеристик станции (станций) КЕГЭ требованиям настоящих региональных инструкций;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возможность работы с тестовым КИМ, в том числе взаимодействие установленной программы экранного диктора (программы экранного доступа и увеличения) с ПО «Станция КЕГЭ» в части озвучивания и увеличения элементов интерфейса участника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В случае масштабирования бланков регистрации руководитель ППЭ </w:t>
      </w:r>
      <w:r>
        <w:rPr>
          <w:rFonts w:ascii="Times New Roman" w:hAnsi="Times New Roman"/>
          <w:b/>
        </w:rPr>
        <w:t>не позднее чем за один календарный день до проведения экзамен</w:t>
      </w:r>
      <w:r>
        <w:rPr>
          <w:rFonts w:ascii="Times New Roman" w:hAnsi="Times New Roman"/>
        </w:rPr>
        <w:t>а подготавливает: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 необходимом количестве пакеты размером формата А3 и форму ППЭ-11 для наклеивания на пакеты;</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необходимом количестве в аудитории увеличительные средства для масштабирования бланков регистрации до формата А3.</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 случае отсутствия увеличительных средств - выдать увеличительное устройство - лупу.</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Допускается не масштабировать бланки регистрации при заполнении указанных бланков ассистентами. Масштабирование КИМ при проведении КЕГЭ не предусмотрено.</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При наличии соответствующих рекомендаций ПМПК допускается использование специальных технических средств, в том числе электронного увеличительного устройства.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w:t>
      </w:r>
      <w:r>
        <w:rPr>
          <w:rFonts w:ascii="Times New Roman" w:hAnsi="Times New Roman"/>
        </w:rPr>
        <w:t>(</w:t>
      </w:r>
      <w:r>
        <w:rPr>
          <w:rFonts w:ascii="Times New Roman" w:hAnsi="Times New Roman"/>
          <w:b/>
        </w:rPr>
        <w:t>не ранее чем за 2 рабочих дня, но не позднее 16:00</w:t>
      </w:r>
      <w:r>
        <w:rPr>
          <w:rFonts w:ascii="Times New Roman" w:hAnsi="Times New Roman"/>
        </w:rPr>
        <w:t xml:space="preserve"> по местному времени календарного дня, предшествующего экзамену) совместно с членом ГЭК и техническим специалистом контролирует: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наличие следующего специализированного оборудования и программного обеспечения, необходимого для указанной категории участников:</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наушники (аудиогарнитура);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электронное увеличивающее устройство (при наличии);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программа экранного увеличения или программа экранного доступа и увеличения.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соответствие технических характеристик станции (станций) КЕГЭ требованиям настоящих региональных инструкций;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возможность работы с тестовым КИМ, в том числе взаимодействие установленной программы экранного увеличения (программы экранного доступа и увеличения) с ПО «Станция КЕГЭ» в части озвучивания и увеличения элементов интерфейса участника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глухих, позднооглохших, кохлеарно имплантированных и слабослышащих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Руководитель ППЭ </w:t>
      </w:r>
      <w:r>
        <w:rPr>
          <w:rFonts w:ascii="Times New Roman" w:hAnsi="Times New Roman"/>
          <w:b/>
        </w:rPr>
        <w:t>не позднее чем за один календарный день до проведения экзамена</w:t>
      </w:r>
      <w:r>
        <w:rPr>
          <w:rFonts w:ascii="Times New Roman" w:hAnsi="Times New Roman"/>
        </w:rPr>
        <w:t>:</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подготавливает в необходимом количестве правила по заполнению бланков регистрации КЕГЭ в соответствии с Правилами заполнения бланков ЕГЭ;</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оборудует аудитории звукоусиливающей аппаратурой как коллективного, так и индивидуального использования.</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w:t>
      </w:r>
      <w:r>
        <w:rPr>
          <w:rFonts w:ascii="Times New Roman" w:hAnsi="Times New Roman"/>
        </w:rPr>
        <w:t>(</w:t>
      </w:r>
      <w:r>
        <w:rPr>
          <w:rFonts w:ascii="Times New Roman" w:hAnsi="Times New Roman"/>
          <w:b/>
        </w:rPr>
        <w:t>не ранее чем за 2 рабочих дня, но не позднее 16:00</w:t>
      </w:r>
      <w:r>
        <w:rPr>
          <w:rFonts w:ascii="Times New Roman" w:hAnsi="Times New Roman"/>
        </w:rPr>
        <w:t xml:space="preserve"> по местному времени календарного дня, предшествующего экзамену) совместно с членом ГЭК и техническим специалистом контролирует: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соответствие технических характеристик станции (станций) КЕГЭ требованиям настоящих региональных инструкций;</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(стандартные настройки).</w:t>
      </w:r>
    </w:p>
    <w:p>
      <w:pPr>
        <w:pStyle w:val="111"/>
        <w:spacing w:lineRule="auto" w:line="240" w:before="0" w:after="0"/>
        <w:ind w:firstLine="720" w:left="0" w:right="0"/>
        <w:contextualSpacing/>
        <w:jc w:val="both"/>
        <w:rPr>
          <w:rFonts w:ascii="Times New Roman" w:hAnsi="Times New Roman"/>
        </w:rPr>
      </w:pPr>
      <w:r>
        <w:rPr>
          <w:rFonts w:ascii="Times New Roman" w:hAnsi="Times New Roman"/>
          <w:b/>
        </w:rPr>
        <w:t>Для участников экзамена с нарушениями опорно-двигательного аппарата: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Руководитель ППЭ обеспечивает беспрепятственный доступ в аудитории, в том числе учитывает необходимость увеличения расстояния между рабочими местами для передвижения инвалидных колясок.</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w:t>
      </w:r>
      <w:r>
        <w:rPr>
          <w:rFonts w:ascii="Times New Roman" w:hAnsi="Times New Roman"/>
        </w:rPr>
        <w:t>(</w:t>
      </w:r>
      <w:r>
        <w:rPr>
          <w:rFonts w:ascii="Times New Roman" w:hAnsi="Times New Roman"/>
          <w:b/>
        </w:rPr>
        <w:t>не ранее чем за 2 рабочих дня, но не позднее 16:00</w:t>
      </w:r>
      <w:r>
        <w:rPr>
          <w:rFonts w:ascii="Times New Roman" w:hAnsi="Times New Roman"/>
        </w:rPr>
        <w:t xml:space="preserve"> по местному времени календарного дня, предшествующего экзамену) совместно с членом ГЭК и техническим специалистом контролирует:</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наличие специализированного оборудования и программного обеспечения, необходимого для указанной категории участников, с учетом индивидуальных потребностей участников: специальные периферические устройства ввода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 др.);</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соответствие технических характеристик станции (станций) КЕГЭ требованиям настоящих региональных инструкций;</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 при наличии соответствующих рекомендаций ПМПК к настройке компьютера (ноутбука);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возможность работы с тестовым КИМ, в том числе с использованием специализированного оборудования, установленного для указанной категории участников.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Проведение ЕГЭ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на входе в ППЭ осуществляет контроль за проверкой документов, удостоверяющих личность ассистентов.</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45 минут до начала экзамена </w:t>
      </w:r>
      <w:r>
        <w:rPr>
          <w:rFonts w:ascii="Times New Roman" w:hAnsi="Times New Roman"/>
        </w:rPr>
        <w:t>руководитель ППЭ выдает организаторам в аудитории: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стандартные формы;</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черновики из расчета по 10 листов для письма по системе Брайля на каждого участника экзамена (для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черновик КЕГЭ по одному комплекту на каждого участника экзамена (за исключением слепых и слабовидящих участников экзамена, использующих рельефно-точечный шрифт Брайля, а также слабовидящих участников КЕГЭ и участников КЕГЭ с нарушениями опорно-двигательного аппарата, если они нуждаются в масштабированных материалах);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масштабированный черновик КЕГЭ (для слабовидящих участников КЕГЭ и участников КЕГЭ с нарушениями опорно-двигательного аппарата, если они нуждаются в масштабированных материалах);</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инструкции по использованию ПО для сдачи КЕГЭ (на каждого участника экзамена) (за исключением слабовидящих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масштабированные инструкции по использованию ПО для сдачи КЕГЭ на каждого участника экзамена (для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приложения к паспорту станции КЕГЭ для соответствующего компьютера (за исключением слабовидящих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масштабированное приложения к паспорту станции КЕГЭ для соответствующего компьютера (для слабовидящих участников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«Обычные» черновики (выдаются по запросу участника, если недостаточно черновика КЕГЭ).</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 xml:space="preserve">Не позднее чем за 15 минут </w:t>
      </w:r>
      <w:r>
        <w:rPr>
          <w:rFonts w:ascii="Times New Roman" w:hAnsi="Times New Roman"/>
        </w:rPr>
        <w:t>до начала экзамена руководитель ППЭ выдает организаторам в аудитории доставочные спецпакеты с ИК, содержащие в себе задания к КИМ, напечатанные шрифтом Брайля (рельефно-точечный шрифт), и бланк регистрации (для слепых и слабовидящих участников экзамена, использующих шрифт Брайля</w:t>
      </w:r>
      <w:r>
        <w:rPr>
          <w:rFonts w:ascii="Times New Roman" w:hAnsi="Times New Roman"/>
          <w:i/>
        </w:rPr>
        <w:t>)</w:t>
      </w:r>
      <w:r>
        <w:rPr>
          <w:rFonts w:ascii="Times New Roman" w:hAnsi="Times New Roman"/>
        </w:rPr>
        <w:t>.</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Этап завершения ЕГЭ в ППЭ</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Руководитель ППЭ в присутствии члена ГЭК после окончания экзамена получает:</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Из аудитории для слепых и слабовидящих участников экзамена, использующих рельефно-точечный шрифт Брайля:</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запечатанные ВДП с бланками регистрации;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запечатанные в конверты тексты заданий к КИМ;</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использованные черновики и черновики для записей рельефно-точечным шрифтом Брайля, представленные в виде тетради;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 xml:space="preserve">неиспользованные черновики и черновики для письма по системе Брайля. </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Вскрывает ВДП с бланками регистрации и передаёт техническому специалисту для сканирования в Штабе ППЭ, далее переупаковывает бланки регистрации в новый ВДП.</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Из аудитории для слабовидящих участников экзамена:</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запечатанные ВДП с бланками регистрации (масштабированными - в конверте формата А3; стандартными - в стандартном ВДП);</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использованные и неиспользованные черновики КЕГЭ и листы бумаги для черновиков (при наличии).</w:t>
      </w:r>
    </w:p>
    <w:p>
      <w:pPr>
        <w:pStyle w:val="111"/>
        <w:spacing w:lineRule="auto" w:line="240" w:before="0" w:after="0"/>
        <w:ind w:firstLine="740" w:left="0" w:right="0"/>
        <w:contextualSpacing/>
        <w:jc w:val="both"/>
        <w:rPr>
          <w:rFonts w:ascii="Times New Roman" w:hAnsi="Times New Roman"/>
        </w:rPr>
      </w:pPr>
      <w:r>
        <w:rPr>
          <w:rFonts w:ascii="Times New Roman" w:hAnsi="Times New Roman"/>
        </w:rPr>
        <w:t>На сопроводительных бланках доставочных пакетов с указанными материалами заполняется информация о регионе, ППЭ, аудитории, предмете, количестве бланков регистрации в пакете, ответственном организаторе по аудитории.</w:t>
      </w:r>
    </w:p>
    <w:p>
      <w:pPr>
        <w:pStyle w:val="111"/>
        <w:spacing w:lineRule="auto" w:line="240" w:before="0" w:after="0"/>
        <w:ind w:firstLine="740" w:left="0" w:right="0"/>
        <w:contextualSpacing/>
        <w:jc w:val="both"/>
        <w:rPr>
          <w:rFonts w:ascii="Times New Roman" w:hAnsi="Times New Roman"/>
        </w:rPr>
      </w:pPr>
      <w:bookmarkStart w:id="83" w:name="bookmark83"/>
      <w:r>
        <w:rPr>
          <w:rFonts w:ascii="Times New Roman" w:hAnsi="Times New Roman"/>
        </w:rPr>
        <w:t>В случае проведения экзамена в специальной аудитории ППЭ по окончании экзамена руководитель ППЭ передает члену ГЭК материалы из специальной аудитории отдельно от материалов, сданных из остальных аудиторий ППЭ по окончании экзамена для основной части участников экзамена. При проведении в ППЭ сканирования бланков регистрации (в аудитории) и форм ППЭ (в Штабе ППЭ) данные материалы из специальной аудитории могут быть отсканированы и переданы в РЦОИ отдельным пакетом. Хранение и передача ЭМ осуществляется в общем порядке.</w:t>
      </w:r>
      <w:bookmarkEnd w:id="83"/>
    </w:p>
    <w:p>
      <w:pPr>
        <w:pStyle w:val="Heading3"/>
        <w:numPr>
          <w:ilvl w:val="2"/>
          <w:numId w:val="4"/>
        </w:numPr>
        <w:spacing w:lineRule="auto" w:line="240" w:before="0" w:after="0"/>
        <w:ind w:firstLine="709" w:left="0" w:right="0"/>
        <w:contextualSpacing/>
        <w:rPr>
          <w:rFonts w:ascii="Times New Roman" w:hAnsi="Times New Roman"/>
        </w:rPr>
      </w:pPr>
      <w:bookmarkStart w:id="84" w:name="__RefHeading___22"/>
      <w:bookmarkStart w:id="85" w:name="bookmark85"/>
      <w:bookmarkStart w:id="86" w:name="bookmark84"/>
      <w:bookmarkEnd w:id="84"/>
      <w:r>
        <w:rPr>
          <w:rFonts w:ascii="Times New Roman" w:hAnsi="Times New Roman"/>
        </w:rPr>
        <w:t>Памятка для члена ГЭК при проведении КЕГЭ для лиц с ОВЗ, детей- инвалидов и инвалидов</w:t>
      </w:r>
      <w:bookmarkEnd w:id="85"/>
      <w:bookmarkEnd w:id="86"/>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Член ГЭК обеспечивает доставку ЭМ, контроль технической готовности ППЭ, а также проведение и завершение экзамена в соответствии с инструкцией для члена ГЭК, с учетом особенностей, описанных в настоящей памятке.</w:t>
      </w:r>
    </w:p>
    <w:p>
      <w:pPr>
        <w:pStyle w:val="111"/>
        <w:spacing w:lineRule="auto" w:line="240" w:before="0" w:after="0"/>
        <w:ind w:firstLine="74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Для каждого участника указанной категории в ППЭ доставляются следующие ЭМ: бумажный бланк регистрации;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тексты заданий к КИМ, оформленные рельефно-точечным шрифтом Брайля;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электронный носитель c КИМ.</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 для записей рельефно-точечным шрифтом Брайля, представленный в виде тетради.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Материалы доставляются в день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пакет (бумажный бланк регистрации, тексты заданий к КИМ, оформленные рельефно-точечным шрифтом Брайля, черновик для записей рельефно-точечным шрифтом Брайля, представленный в виде тетради) выдаётся со склада организации, обеспечивающей доставку ЭМ в субъект Российской Федерации члену ГЭК.</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 xml:space="preserve">контроля технической готовности (не ранее чем за 2 рабочих дня, но не позднее 16:00 по местному времени календарного дня, предшествующего экзамену) </w:t>
      </w:r>
      <w:r>
        <w:rPr>
          <w:rFonts w:ascii="Times New Roman" w:hAnsi="Times New Roman"/>
        </w:rPr>
        <w:t>член ГЭК совместно с руководителем ППЭ и техническим специалистом ППЭ: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контролирует: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следующего специализированного оборудования и программного обеспечения, необходимого для указанной категории участников: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наушники (аудиогарнитура);</w:t>
      </w:r>
    </w:p>
    <w:p>
      <w:pPr>
        <w:pStyle w:val="111"/>
        <w:spacing w:lineRule="auto" w:line="240" w:before="0" w:after="0"/>
        <w:ind w:hanging="0" w:left="580" w:right="0"/>
        <w:contextualSpacing/>
        <w:rPr>
          <w:rFonts w:ascii="Times New Roman" w:hAnsi="Times New Roman"/>
        </w:rPr>
      </w:pPr>
      <w:r>
        <w:rPr>
          <w:rFonts w:ascii="Times New Roman" w:hAnsi="Times New Roman"/>
        </w:rPr>
        <w:t>портативный тактильный дисплей Брайля типа Focus 40 Blue или его аналог; программа экранного доступа или программа экранного доступа и увеличения; соответствие технических характеристик станции (станций) КЕГЭ требованиям настоящих региональных инструкций;</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возможность работы с тестовым КИМ, в том числе взаимодействие установленной программы экранного диктора (программы экранного доступа и увеличения) с ПО «Станция КЕГЭ» в части озвучивания и увеличения элементов интерфейса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слабовидящих участников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xml:space="preserve"> член ГЭК совместно с руководителем ППЭ и техническим специалистом ППЭ контролирует: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следующего специализированного оборудования и программного обеспечения, необходимого для указанной категории участников: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наушники (аудиогарнитура);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электронное увеличивающее устройство (при наличии);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программа экранного увеличения или программа экранного доступа и увеличения;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соответствие технических характеристик станции (станций) КЕГЭ требованиям настоящих инструкций;</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возможность работы с тестовым КИМ, в том числе взаимодействие установленной программы экранного увеличения (программы экранного доступа и увеличения) с ПО «Станция КЕГЭ» в части озвучивания и увеличения элементов интерфейса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Дополнительно для слабовидящих участников экзамена, а также (при необходимости) участников экзамена с нарушениями опорно-двигательного аппарата подготавливаются: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масштабированный черновик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масштабированные инструкции по использованию ПО для сдачи КЕГЭ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масштабированные приложения к паспорту станции КЕГЭ (на соответствующие компьютеры).</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На этапе проведения экзамена </w:t>
      </w:r>
      <w:r>
        <w:rPr>
          <w:rFonts w:ascii="Times New Roman" w:hAnsi="Times New Roman"/>
        </w:rPr>
        <w:t>член ГЭК присутствует при масштабировании напечатанных бланков регистрации для слабовидящих участников экзамена в формат А3.</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глухих, позднооглохших, кохлеарно имплантированных и слабослышащих участников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член ГЭК совместно с руководителем ППЭ и техническим специалистом ППЭ контролирует наличие стандартных версий станции (станций)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На этапе проведения экзамена </w:t>
      </w:r>
      <w:r>
        <w:rPr>
          <w:rFonts w:ascii="Times New Roman" w:hAnsi="Times New Roman"/>
        </w:rPr>
        <w:t>член ГЭК присутствует при настройке и подготовке звукоусиливающей аппаратуры к работе.</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участников экзамена с нарушениями опорно-двигательного аппарата: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член ГЭК совместно с руководителем ППЭ и техническим специалистом ППЭ контролирует: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специализированного оборудования, необходимого для указанной категории участников, с учетом индивидуальных потребностей участников: специальные периферические устройства ввода (ножная мышь, роллер, джойстик, головная мышь и др.), клавиатура с увеличенным размером клавиш или виртуальная клавиатура, с возможностью подключения специальных настроек: увеличение курсора, замедление скорости перемещения курсора, включение опции увеличения области просмотра и др.);</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наличие станции (станций) КЕГЭ, установленной в режиме для участников с ОВЗ (расширенные настройки) при наличии соответствующих рекомендаций ПМПК к настройке компьютера (ноутбука), и стандартной станции (станций) КЕГЭ при отсутствии соответствующих рекомендаций;</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возможность работы с тестовым КИМ, в том числе с использованием специализированного оборудования, установленного для указанной категории участников.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прочих категорий участников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На этапе </w:t>
      </w:r>
      <w:r>
        <w:rPr>
          <w:rFonts w:ascii="Times New Roman" w:hAnsi="Times New Roman"/>
          <w:b/>
        </w:rPr>
        <w:t>контроля технической готовности (не ранее чем за 2 рабочих дня, но не позднее 16:00 по местному времени календарного дня, предшествующего экзамену</w:t>
      </w:r>
      <w:r>
        <w:rPr>
          <w:rFonts w:ascii="Times New Roman" w:hAnsi="Times New Roman"/>
        </w:rPr>
        <w:t>) член ГЭК совместно с руководителем ППЭ и техническим специалистом ППЭ контролирует наличие стандартной станции (станций)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Этап завершения ЕГЭ в ППЭ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случае использования увеличенных до формата А3 бланков регистрации контролировать в аудитории, где проходил экзамен для слабовидящих, перенос ассистентами информации с увеличенных бланков регистрации на бланки стандартного размера (данное действие не включается в продолжительность экзамена для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случае наличия аудитории, в которой использовались ЭМ, выполненные рельефноточечным шрифтом Брайля, проконтролировать сканирование бланков регистрации в Штабе ППЭ.</w:t>
      </w:r>
    </w:p>
    <w:p>
      <w:pPr>
        <w:pStyle w:val="111"/>
        <w:spacing w:lineRule="auto" w:line="240" w:before="0" w:after="0"/>
        <w:ind w:firstLine="580" w:left="0" w:right="0"/>
        <w:contextualSpacing/>
        <w:jc w:val="both"/>
        <w:rPr>
          <w:rFonts w:ascii="Times New Roman" w:hAnsi="Times New Roman"/>
        </w:rPr>
      </w:pPr>
      <w:bookmarkStart w:id="87" w:name="bookmark86"/>
      <w:r>
        <w:rPr>
          <w:rFonts w:ascii="Times New Roman" w:hAnsi="Times New Roman"/>
        </w:rPr>
        <w:t>В случае проведения экзамена в специальной аудитории ППЭ член ГЭК должен получить по окончании экзамена от руководителя ППЭ материалы из специальной аудитории. При проведении в ППЭ сканирования бланков регистрации (в аудитории) и форм ППЭ (в Штабе ППЭ) бланки регистрации из специальной аудитории могут быть отсканированы и переданы в РЦОИ отдельным пакетом.</w:t>
      </w:r>
      <w:bookmarkEnd w:id="87"/>
    </w:p>
    <w:p>
      <w:pPr>
        <w:pStyle w:val="111"/>
        <w:spacing w:lineRule="auto" w:line="240" w:before="0" w:after="0"/>
        <w:ind w:firstLine="580" w:left="0" w:right="0"/>
        <w:contextualSpacing/>
        <w:jc w:val="both"/>
        <w:rPr>
          <w:rFonts w:ascii="Times New Roman" w:hAnsi="Times New Roman"/>
        </w:rPr>
      </w:pPr>
      <w:r>
        <w:rPr>
          <w:rFonts w:ascii="Times New Roman" w:hAnsi="Times New Roman"/>
        </w:rPr>
      </w:r>
    </w:p>
    <w:p>
      <w:pPr>
        <w:pStyle w:val="Heading3"/>
        <w:numPr>
          <w:ilvl w:val="2"/>
          <w:numId w:val="4"/>
        </w:numPr>
        <w:spacing w:lineRule="auto" w:line="240" w:before="0" w:after="0"/>
        <w:ind w:firstLine="709" w:left="0" w:right="0"/>
        <w:contextualSpacing/>
        <w:rPr>
          <w:rFonts w:ascii="Times New Roman" w:hAnsi="Times New Roman"/>
        </w:rPr>
      </w:pPr>
      <w:bookmarkStart w:id="88" w:name="__RefHeading___23"/>
      <w:bookmarkStart w:id="89" w:name="bookmark88"/>
      <w:bookmarkStart w:id="90" w:name="bookmark87"/>
      <w:bookmarkEnd w:id="88"/>
      <w:r>
        <w:rPr>
          <w:rFonts w:ascii="Times New Roman" w:hAnsi="Times New Roman"/>
        </w:rPr>
        <w:t>Памятка для организатора в аудитории при проведении КЕГЭ для слепых, слабовидящих и поздноослепших участников экзамена, использующих рельефно-точечный шрифт Брайля</w:t>
      </w:r>
      <w:bookmarkEnd w:id="89"/>
      <w:bookmarkEnd w:id="90"/>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Перед началом экзамена организаторы в аудитории:</w:t>
      </w:r>
    </w:p>
    <w:p>
      <w:pPr>
        <w:pStyle w:val="111"/>
        <w:spacing w:lineRule="auto" w:line="240" w:before="0" w:after="0"/>
        <w:ind w:hanging="0" w:left="580" w:right="0"/>
        <w:contextualSpacing/>
        <w:jc w:val="both"/>
        <w:rPr>
          <w:rFonts w:ascii="Times New Roman" w:hAnsi="Times New Roman"/>
        </w:rPr>
      </w:pPr>
      <w:r>
        <w:rPr>
          <w:rFonts w:ascii="Times New Roman" w:hAnsi="Times New Roman"/>
        </w:rPr>
        <w:t xml:space="preserve">а) </w:t>
      </w:r>
      <w:r>
        <w:rPr>
          <w:rFonts w:ascii="Times New Roman" w:hAnsi="Times New Roman"/>
          <w:b/>
        </w:rPr>
        <w:t>не позднее чем за 45 минут до начала экзамена</w:t>
      </w:r>
      <w:r>
        <w:rPr>
          <w:rFonts w:ascii="Times New Roman" w:hAnsi="Times New Roman"/>
        </w:rPr>
        <w:t xml:space="preserve"> получают у руководителя ППЭ: стандартные формы;</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черновики из расчета по 10 листов для письма по системе Брайля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 проводят идентификацию личности по документу, удостоверяющего личность ассистента, с выданной формой при входе ассистента в аудиторию. Участники экзамена могут взять с собой на отведенное место в аудитории письменный прибор Брайля, специальные чертежные инструменты (при необходимости) и др.</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ассистенты участника в присутствии технического специалиста выполняют настройку используемого оборудования (громкость воспроизведения наушников (аудиогарнитуры), параметры портативного тактильного дисплея Брайля, параметры программы экранного доступа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Проведение КЕГЭ в аудитории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Не позднее чем за 15 минут </w:t>
      </w:r>
      <w:r>
        <w:rPr>
          <w:rFonts w:ascii="Times New Roman" w:hAnsi="Times New Roman"/>
        </w:rPr>
        <w:t>до начала экзамена организатор в аудитории получает у руководителя ППЭ доставочные спецпакеты с ИК, содержащие задания к КИМ, напечатанные рельефно-точечным шрифтом Брайля, бланк регистрации, черновик для записей рельефно-точечным шрифтом Брайля, представленный в виде</w:t>
      </w:r>
      <w:r>
        <w:rPr>
          <w:rFonts w:ascii="Times New Roman" w:hAnsi="Times New Roman"/>
          <w:spacing w:val="-17"/>
        </w:rPr>
        <w:t xml:space="preserve"> </w:t>
      </w:r>
      <w:r>
        <w:rPr>
          <w:rFonts w:ascii="Times New Roman" w:hAnsi="Times New Roman"/>
        </w:rPr>
        <w:t>тетради.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После выдачи участникам экзамена бланков регистрации ассистенты должны вписать в специально отведенное место регистрационных полей бланка регистрации ФИО и данные участника экзамена из документа, удостоверяющего его личность, и данные о ППЭ, записанные организаторами на доске (информационном стенде), во время проведения инструктажа участников экзамена.</w:t>
      </w:r>
    </w:p>
    <w:p>
      <w:pPr>
        <w:pStyle w:val="111"/>
        <w:spacing w:lineRule="auto" w:line="240" w:before="0" w:after="0"/>
        <w:ind w:firstLine="720" w:left="0" w:right="0"/>
        <w:contextualSpacing/>
        <w:jc w:val="both"/>
        <w:rPr>
          <w:rFonts w:ascii="Times New Roman" w:hAnsi="Times New Roman"/>
        </w:rPr>
      </w:pPr>
      <w:r>
        <w:rPr>
          <w:rFonts w:ascii="Times New Roman" w:hAnsi="Times New Roman"/>
        </w:rPr>
        <w:t>Также ассистент знакомит участника экзамена с перечнем установленного стандартного ПО, зарегистрированного в станции КЕГЭ, и с адресом рабочей папки, с которой участник экзамена работает во время экзамена (в соответствии с информацией в приложении к паспорту станции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За 30 минут и за 5 минут до окончания выполнения ЭР организаторы сообщают участникам экзамена о скором завершении выполнения ЭР и напоминают о необходимости проверки корректности внесения и наличия сохранных ответов на задания в станции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истечении времени, отведенного на проведение экзамена, ответственный организатор объявляет, что экзамен окончен. Ассистент помогает участнику завершить экзамен на станции КЕГЭ, в том числе досрочно. Затем ассистент сообщает участнику и переносит в бланк регистрации контрольную сумму, отображенную на станции КЕГЭ, и подписывает. Заполненный бланк регистрации, текст заданий к КИМ, черновик для записей рельефно-точечным шрифтом Брайля, представленный в виде тетради, и черновики (по технологии Брайля) кладет на край рабочего стола (при этом все оставшиеся в аудитории участники экзамена и их ассистенты должны оставаться на своих местах).</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Организаторы в аудитории самостоятельно собирают у участников экзамена ЭМ (бланки регистрации, черновики, черновик для записей рельефно-точечным шрифтом Брайля, представленный в виде тетради, текст заданий к КИМ).</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Участники экзамена и их ассистенты покидают аудиторию.</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итогам сбора ЭМ у участников экзамена организатор формирует материалы по следующим категориям:</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бланки регистрации;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черновики и черновики для записей рельефно-точечным шрифтом Брайля, представленные в виде тетради;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задания к КИМ.</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пересчитывает бланки регистрации и запечатать их в пакет.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заполняет сопроводительный бланк на ВДП, в котором отмечает информацию о регионе, ППЭ, аудитории, учебном предмете, количестве бланков регистрации в пакете, ответственном организаторе в аудитории.</w:t>
      </w:r>
    </w:p>
    <w:p>
      <w:pPr>
        <w:pStyle w:val="111"/>
        <w:spacing w:lineRule="auto" w:line="240" w:before="0" w:after="0"/>
        <w:ind w:firstLine="580" w:left="0" w:right="0"/>
        <w:contextualSpacing/>
        <w:jc w:val="both"/>
        <w:rPr>
          <w:rFonts w:ascii="Times New Roman" w:hAnsi="Times New Roman"/>
        </w:rPr>
      </w:pPr>
      <w:bookmarkStart w:id="91" w:name="bookmark89"/>
      <w:r>
        <w:rPr>
          <w:rFonts w:ascii="Times New Roman" w:hAnsi="Times New Roman"/>
        </w:rPr>
        <w:t>Сканирование бланков регистрации в аудитории не производится, организатор сдаёт ЭМ руководителю ППЭ в Штабе ППЭ.</w:t>
      </w:r>
      <w:bookmarkEnd w:id="91"/>
    </w:p>
    <w:p>
      <w:pPr>
        <w:pStyle w:val="Heading3"/>
        <w:numPr>
          <w:ilvl w:val="2"/>
          <w:numId w:val="4"/>
        </w:numPr>
        <w:spacing w:lineRule="auto" w:line="240" w:before="0" w:after="0"/>
        <w:ind w:firstLine="709" w:left="0" w:right="0"/>
        <w:contextualSpacing/>
        <w:rPr>
          <w:rFonts w:ascii="Times New Roman" w:hAnsi="Times New Roman"/>
        </w:rPr>
      </w:pPr>
      <w:bookmarkStart w:id="92" w:name="__RefHeading___24"/>
      <w:bookmarkStart w:id="93" w:name="bookmark90"/>
      <w:bookmarkStart w:id="94" w:name="bookmark91"/>
      <w:bookmarkEnd w:id="92"/>
      <w:r>
        <w:rPr>
          <w:rFonts w:ascii="Times New Roman" w:hAnsi="Times New Roman"/>
        </w:rPr>
        <w:t>Памятка для организатора в аудитории при проведении КЕГЭ для слабовидящих участников экзамена</w:t>
      </w:r>
      <w:bookmarkEnd w:id="93"/>
      <w:bookmarkEnd w:id="94"/>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pPr>
        <w:pStyle w:val="Normal"/>
        <w:spacing w:lineRule="auto" w:line="240" w:before="0" w:after="0"/>
        <w:ind w:firstLine="567" w:left="0" w:right="0"/>
        <w:contextualSpacing/>
        <w:jc w:val="both"/>
        <w:rPr>
          <w:rFonts w:ascii="Times New Roman" w:hAnsi="Times New Roman"/>
        </w:rPr>
      </w:pPr>
      <w:r>
        <w:rPr>
          <w:rFonts w:ascii="Times New Roman" w:hAnsi="Times New Roman"/>
          <w:b/>
          <w:sz w:val="26"/>
        </w:rPr>
        <w:t>Перед началом экзамена</w:t>
      </w:r>
      <w:r>
        <w:rPr>
          <w:rFonts w:ascii="Times New Roman" w:hAnsi="Times New Roman"/>
          <w:sz w:val="26"/>
        </w:rPr>
        <w:t xml:space="preserve"> организаторы в аудитории: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а) </w:t>
      </w:r>
      <w:r>
        <w:rPr>
          <w:rFonts w:ascii="Times New Roman" w:hAnsi="Times New Roman"/>
          <w:b/>
        </w:rPr>
        <w:t xml:space="preserve">не позднее чем за 45 минут до начала экзамена </w:t>
      </w:r>
      <w:r>
        <w:rPr>
          <w:rFonts w:ascii="Times New Roman" w:hAnsi="Times New Roman"/>
        </w:rPr>
        <w:t>получают у руководителя ППЭ: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стандартные формы;</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масштабированный черновик участника КЕГЭ по одному комплекту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масштабированные инструкции по использованию ПО для сдачи КЕГЭ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масштабированные приложения к паспорту станции КЕГЭ (для соответствующих компьютеров);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«Обычные» черновики (выдаются по запросу участника, если недостаточно черновика участника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б) проводят идентификацию личности по документу, удостоверяющего личность ассистента, с выданной формой при входе ассистента в аудиторию. </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Участники экзамена могут взять с собой на отведенное место в аудитории лупу или иное увеличительное устройство.</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ассистенты участников в присутствии технического специалиста выполняют настройку параметров операционной системы и используемого оборудования (наушники или аудиогарнитура, громкость воспроизведения, контрастная цветовая схема, увеличение масштаба экрана, увеличение и повышение контрастности указателя мыши, параметры программы экранного увеличения или программы экранного доступа и увеличения, прочие необходимые параметры) с учетом индивидуальных возможностей и потребностей участника.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Проведение ЕГЭ в аудитории: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Масштабирование бланков регистрации (при необходимости) рекомендуется осуществлять непосредственно в аудитории проведения экзамена не ранее 10:00 по местному времени по мере печати бланков регистрации стандартных размеров.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Слабовидящие участники экзамена могут работать с бланком регистрации стандартного или увеличенного размера (по своему выбору).</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случае использования бланков стандартного размера ассистенты (при необходимости) должны вписать в специально отведенное место регистрационных полей бланка регистрации ФИО и данные участника экзамена из документа, удостоверяющего личность, и данные о ППЭ, записанные организаторами на доске (информационном стенде), во время проведения инструктажа участников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За 30 минут и за 5 минут до окончания выполнения ЭР организаторы сообщают участникам экзамена о скором завершении выполнения ЭР и напоминают о необходимости проверки корректности внесения и наличия сохранных ответов на задания в ПО для сдачи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истечении времени, отведенного на проведение экзамена, ответственный организатор объявляет, что экзамен окончен, необходимо завершить экзамен на станции КЕГЭ и перенести контрольную сумму в бланк регистрации.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случае использования масштабированных до формата А3 бланков регистрации:</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организаторы в аудитории самостоятельно собирают у участников экзамена черновик КЕГЭ, черновики (при наличии), и пересчитывают их. Бланки регистрации остаются на рабочих местах участников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присутствии общественных наблюдателей (при наличии) и члена ГЭК ассистенты переносят информацию, включая контрольную сумму, с масштабированных до формата А3 бланков регистрации на стандартные бланки регистрации (данное действие не входит в продолжительность экзамена), приглашают организатора, который убеждается в правильности переноса контрольной суммы и удостоверяет данное действие своей подписью на бланке участника в специально отведённом поле. При переносе информации на бланк регистрации стандартного размера в поле «Подпись участника» ассистент пишет «Копия верна» и ставит свою подпись.</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окончании переноса информации слабовидящих участников экзамена на бланки регистрации стандартного размера организатор в аудитории производит их сканирование и после экспорта пакета со станции организатора запечатывает бланки регистрации в стандартные ВДП. Масштабированные бланки регистрации запечатываются в пакеты формата А3.</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окончании переноса ответов слабовидящих участников экзамена на бланки стандартного размера организатор в аудитории формирует материалы по следующим категориям:</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бланки регистрации (стандартные);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бланки регистрации (масштабированные).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Бланки стандартного размера запечатываются в стандартные ВДП, масштабированные бланки регистрации запечатываются в пакеты формата А3.</w:t>
      </w:r>
    </w:p>
    <w:p>
      <w:pPr>
        <w:pStyle w:val="111"/>
        <w:spacing w:lineRule="auto" w:line="240" w:before="0" w:after="0"/>
        <w:ind w:firstLine="580" w:left="0" w:right="0"/>
        <w:contextualSpacing/>
        <w:jc w:val="both"/>
        <w:rPr>
          <w:rFonts w:ascii="Times New Roman" w:hAnsi="Times New Roman"/>
        </w:rPr>
      </w:pPr>
      <w:bookmarkStart w:id="95" w:name="bookmark92"/>
      <w:r>
        <w:rPr>
          <w:rFonts w:ascii="Times New Roman" w:hAnsi="Times New Roman"/>
        </w:rPr>
        <w:t>Организатор заполняет сопроводительный бланк на ВДП, в котором отмечает информацию о регионе, ППЭ, аудитории, учебном предмете, количестве бланков регистрации в пакете, ответственном организаторе в аудитории.</w:t>
      </w:r>
      <w:bookmarkEnd w:id="95"/>
    </w:p>
    <w:p>
      <w:pPr>
        <w:pStyle w:val="Heading3"/>
        <w:numPr>
          <w:ilvl w:val="2"/>
          <w:numId w:val="4"/>
        </w:numPr>
        <w:spacing w:lineRule="auto" w:line="240" w:before="0" w:after="0"/>
        <w:ind w:firstLine="709" w:left="0" w:right="0"/>
        <w:contextualSpacing/>
        <w:rPr>
          <w:rFonts w:ascii="Times New Roman" w:hAnsi="Times New Roman"/>
        </w:rPr>
      </w:pPr>
      <w:bookmarkStart w:id="96" w:name="__RefHeading___25"/>
      <w:bookmarkStart w:id="97" w:name="bookmark94"/>
      <w:bookmarkStart w:id="98" w:name="bookmark93"/>
      <w:bookmarkEnd w:id="96"/>
      <w:r>
        <w:rPr>
          <w:rFonts w:ascii="Times New Roman" w:hAnsi="Times New Roman"/>
        </w:rPr>
        <w:t>Памятка для организатора в аудитории при проведении КЕГЭ для глухих, позднооглохших, кохлеарно имплантированных и слабослышащих участников экзамена</w:t>
      </w:r>
      <w:bookmarkEnd w:id="97"/>
      <w:bookmarkEnd w:id="98"/>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Перед началом экзамена</w:t>
      </w:r>
      <w:r>
        <w:rPr>
          <w:rFonts w:ascii="Times New Roman" w:hAnsi="Times New Roman"/>
        </w:rPr>
        <w:t xml:space="preserve"> организаторы в аудитории:</w:t>
      </w:r>
    </w:p>
    <w:p>
      <w:pPr>
        <w:pStyle w:val="111"/>
        <w:spacing w:lineRule="auto" w:line="240" w:before="0" w:after="0"/>
        <w:ind w:hanging="0" w:left="580" w:right="0"/>
        <w:contextualSpacing/>
        <w:jc w:val="both"/>
        <w:rPr>
          <w:rFonts w:ascii="Times New Roman" w:hAnsi="Times New Roman"/>
        </w:rPr>
      </w:pPr>
      <w:r>
        <w:rPr>
          <w:rFonts w:ascii="Times New Roman" w:hAnsi="Times New Roman"/>
        </w:rPr>
        <w:t xml:space="preserve">а) </w:t>
      </w:r>
      <w:r>
        <w:rPr>
          <w:rFonts w:ascii="Times New Roman" w:hAnsi="Times New Roman"/>
          <w:b/>
        </w:rPr>
        <w:t>не позднее чем за 45 минут до начала экзамена</w:t>
      </w:r>
      <w:r>
        <w:rPr>
          <w:rFonts w:ascii="Times New Roman" w:hAnsi="Times New Roman"/>
        </w:rPr>
        <w:t xml:space="preserve"> получают у руководителя ППЭ: стандартные формы;</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 КЕГЭ по одному комплекту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черновики (выдаются по запросу участника, если недостаточно черновика КЕГЭ); инструкции по использованию ПО для сдачи КЕГЭ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приложения к паспорту станции КЕГЭ (для соответствующих компьютеров).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 проводят идентификацию личности по документу, удостоверяющего личность ассистента, с выданной формой при входе ассистента в аудиторию.</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Участники экзамена могут взять с собой на отведенное место в аудитории слуховой аппарат.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 день проведения экзамена до начала экзамена проверяется качество звукоусиливающей аппаратуры как коллективного, так и индивидуального использования.</w:t>
      </w:r>
    </w:p>
    <w:p>
      <w:pPr>
        <w:pStyle w:val="Heading3"/>
        <w:numPr>
          <w:ilvl w:val="2"/>
          <w:numId w:val="4"/>
        </w:numPr>
        <w:spacing w:lineRule="auto" w:line="240" w:before="0" w:after="0"/>
        <w:ind w:firstLine="709" w:left="0" w:right="0"/>
        <w:contextualSpacing/>
        <w:rPr>
          <w:rFonts w:ascii="Times New Roman" w:hAnsi="Times New Roman"/>
        </w:rPr>
      </w:pPr>
      <w:bookmarkStart w:id="99" w:name="__RefHeading___26"/>
      <w:bookmarkStart w:id="100" w:name="bookmark95"/>
      <w:bookmarkStart w:id="101" w:name="bookmark97"/>
      <w:bookmarkStart w:id="102" w:name="bookmark96"/>
      <w:bookmarkEnd w:id="99"/>
      <w:r>
        <w:rPr>
          <w:rFonts w:ascii="Times New Roman" w:hAnsi="Times New Roman"/>
        </w:rPr>
        <w:t>Памятка для организатора в аудитории при проведении КЕГЭ для участников экзамена с нарушениями опорно-двигательного аппарата</w:t>
      </w:r>
      <w:bookmarkEnd w:id="100"/>
      <w:bookmarkEnd w:id="101"/>
      <w:bookmarkEnd w:id="102"/>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pPr>
        <w:pStyle w:val="111"/>
        <w:spacing w:lineRule="auto" w:line="240" w:before="0" w:after="0"/>
        <w:ind w:firstLine="580" w:left="0" w:right="0"/>
        <w:contextualSpacing/>
        <w:jc w:val="both"/>
        <w:rPr>
          <w:rFonts w:ascii="Times New Roman" w:hAnsi="Times New Roman"/>
        </w:rPr>
      </w:pPr>
      <w:bookmarkStart w:id="103" w:name="bookmark98"/>
      <w:r>
        <w:rPr>
          <w:rFonts w:ascii="Times New Roman" w:hAnsi="Times New Roman"/>
          <w:b/>
        </w:rPr>
        <w:t xml:space="preserve">Перед началом экзамена </w:t>
      </w:r>
      <w:r>
        <w:rPr>
          <w:rFonts w:ascii="Times New Roman" w:hAnsi="Times New Roman"/>
        </w:rPr>
        <w:t>организаторы в аудитории:</w:t>
      </w:r>
    </w:p>
    <w:p>
      <w:pPr>
        <w:pStyle w:val="111"/>
        <w:spacing w:lineRule="auto" w:line="240" w:before="0" w:after="0"/>
        <w:ind w:hanging="0" w:left="580" w:right="0"/>
        <w:contextualSpacing/>
        <w:jc w:val="both"/>
        <w:rPr>
          <w:rFonts w:ascii="Times New Roman" w:hAnsi="Times New Roman"/>
        </w:rPr>
      </w:pPr>
      <w:r>
        <w:rPr>
          <w:rFonts w:ascii="Times New Roman" w:hAnsi="Times New Roman"/>
        </w:rPr>
        <w:t xml:space="preserve">а) </w:t>
      </w:r>
      <w:r>
        <w:rPr>
          <w:rFonts w:ascii="Times New Roman" w:hAnsi="Times New Roman"/>
          <w:b/>
        </w:rPr>
        <w:t>не позднее чем за 45 минут до начала экзамена</w:t>
      </w:r>
      <w:r>
        <w:rPr>
          <w:rFonts w:ascii="Times New Roman" w:hAnsi="Times New Roman"/>
        </w:rPr>
        <w:t xml:space="preserve"> получают у руководителя ППЭ: стандартные формы</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 участника КЕГЭ по одному комплекту на каждого участника экзамена (при необходимости может быть выполнено масштабирование);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черновики (выдаются по запросу участника, если недостаточно черновика участника КЕГЭ);</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инструкции по использованию ПО для сдачи КЕГЭ (на каждого участника 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приложения к паспорту станции КЕГЭ (при необходимости может быть выполнено масштабирование).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 проводят идентификацию личности по документу, удостоверяющего личность ассистента, с выданной формой при входе ассистента в аудиторию.</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 xml:space="preserve">В день проведения экзамена до начала экзамена </w:t>
      </w:r>
      <w:r>
        <w:rPr>
          <w:rFonts w:ascii="Times New Roman" w:hAnsi="Times New Roman"/>
        </w:rPr>
        <w:t>ассистенты участников в присутствии технического специалиста выполняют настройку параметров операционной системы и используемого оборудования (специальные периферические устройства ввода (ножная мышь, роллер, джойстик, головная мышь и др.), увеличение курсора, замедление скорости перемещения курсора, включение опции увеличения области просмотра, прочие необходимые параметры) с учетом индивидуальных возможностей и потребностей участника.</w:t>
      </w:r>
      <w:bookmarkEnd w:id="103"/>
    </w:p>
    <w:p>
      <w:pPr>
        <w:pStyle w:val="Heading3"/>
        <w:numPr>
          <w:ilvl w:val="2"/>
          <w:numId w:val="4"/>
        </w:numPr>
        <w:spacing w:lineRule="auto" w:line="240" w:before="0" w:after="0"/>
        <w:ind w:firstLine="709" w:left="0" w:right="0"/>
        <w:contextualSpacing/>
        <w:rPr>
          <w:rFonts w:ascii="Times New Roman" w:hAnsi="Times New Roman"/>
        </w:rPr>
      </w:pPr>
      <w:bookmarkStart w:id="104" w:name="__RefHeading___27"/>
      <w:bookmarkStart w:id="105" w:name="bookmark99"/>
      <w:bookmarkStart w:id="106" w:name="bookmark100"/>
      <w:bookmarkEnd w:id="104"/>
      <w:r>
        <w:rPr>
          <w:rFonts w:ascii="Times New Roman" w:hAnsi="Times New Roman"/>
        </w:rPr>
        <w:t>Памятка для организатора в аудитории при проведении КЕГЭ для участников экзамена прочих категорий</w:t>
      </w:r>
      <w:bookmarkEnd w:id="105"/>
      <w:bookmarkEnd w:id="106"/>
    </w:p>
    <w:p>
      <w:pPr>
        <w:pStyle w:val="111"/>
        <w:spacing w:lineRule="auto" w:line="240" w:before="0" w:after="0"/>
        <w:ind w:firstLine="580" w:left="0" w:right="0"/>
        <w:contextualSpacing/>
        <w:jc w:val="both"/>
        <w:rPr>
          <w:rFonts w:ascii="Times New Roman" w:hAnsi="Times New Roman"/>
        </w:rPr>
      </w:pPr>
      <w:r>
        <w:rPr>
          <w:rFonts w:ascii="Times New Roman" w:hAnsi="Times New Roman"/>
        </w:rPr>
        <w:t>Организатор в аудитории обеспечивает проведение и завершение экзамена в соответствии с инструкцией для организатора в аудитории, с учетом особенностей, описанных в настоящей памятке.</w:t>
      </w:r>
    </w:p>
    <w:p>
      <w:pPr>
        <w:pStyle w:val="111"/>
        <w:spacing w:lineRule="auto" w:line="240" w:before="0" w:after="0"/>
        <w:ind w:firstLine="580" w:left="0" w:right="0"/>
        <w:contextualSpacing/>
        <w:jc w:val="both"/>
        <w:rPr>
          <w:rFonts w:ascii="Times New Roman" w:hAnsi="Times New Roman"/>
        </w:rPr>
      </w:pPr>
      <w:bookmarkStart w:id="107" w:name="bookmark102"/>
      <w:bookmarkStart w:id="108" w:name="bookmark103"/>
      <w:bookmarkStart w:id="109" w:name="bookmark101"/>
      <w:r>
        <w:rPr>
          <w:rFonts w:ascii="Times New Roman" w:hAnsi="Times New Roman"/>
          <w:b/>
        </w:rPr>
        <w:t>Перед началом экзамена</w:t>
      </w:r>
      <w:r>
        <w:rPr>
          <w:rFonts w:ascii="Times New Roman" w:hAnsi="Times New Roman"/>
        </w:rPr>
        <w:t xml:space="preserve"> организаторы в аудитории:</w:t>
      </w:r>
    </w:p>
    <w:p>
      <w:pPr>
        <w:pStyle w:val="111"/>
        <w:spacing w:lineRule="auto" w:line="240" w:before="0" w:after="0"/>
        <w:ind w:hanging="0" w:left="580" w:right="0"/>
        <w:contextualSpacing/>
        <w:jc w:val="both"/>
        <w:rPr>
          <w:rFonts w:ascii="Times New Roman" w:hAnsi="Times New Roman"/>
        </w:rPr>
      </w:pPr>
      <w:r>
        <w:rPr>
          <w:rFonts w:ascii="Times New Roman" w:hAnsi="Times New Roman"/>
        </w:rPr>
        <w:t xml:space="preserve">а) </w:t>
      </w:r>
      <w:r>
        <w:rPr>
          <w:rFonts w:ascii="Times New Roman" w:hAnsi="Times New Roman"/>
          <w:b/>
        </w:rPr>
        <w:t>не позднее чем за 45 минут до начала экзамена</w:t>
      </w:r>
      <w:r>
        <w:rPr>
          <w:rFonts w:ascii="Times New Roman" w:hAnsi="Times New Roman"/>
        </w:rPr>
        <w:t xml:space="preserve"> получает у руководителя ППЭ: стандартные формы;</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черновик участника КЕГЭ по одному комплекту на каждого участника экзамена; черновики (выдаются по запросу участника, если недостаточно черновика КЕГЭ); инструкции по использованию ПО для сдачи КЕГЭ (на каждого участника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экзамена);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приложения к паспорту станции КЕГЭ (для соответствующих компьютеров).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б) проводит идентификацию личности по документу, удостоверяющего личность ассистента, с выданной формой при входе ассистента в аудиторию.</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r>
    </w:p>
    <w:p>
      <w:pPr>
        <w:pStyle w:val="Heading2"/>
        <w:numPr>
          <w:ilvl w:val="0"/>
          <w:numId w:val="3"/>
        </w:numPr>
        <w:tabs>
          <w:tab w:val="clear" w:pos="1281"/>
          <w:tab w:val="left" w:pos="2127" w:leader="none"/>
        </w:tabs>
        <w:spacing w:lineRule="auto" w:line="240" w:before="0" w:after="0"/>
        <w:ind w:firstLine="709" w:left="0" w:right="0"/>
        <w:contextualSpacing/>
        <w:rPr>
          <w:rFonts w:ascii="Times New Roman" w:hAnsi="Times New Roman"/>
        </w:rPr>
      </w:pPr>
      <w:bookmarkStart w:id="110" w:name="bookmark102"/>
      <w:bookmarkStart w:id="111" w:name="bookmark103"/>
      <w:bookmarkStart w:id="112" w:name="bookmark101"/>
      <w:bookmarkStart w:id="113" w:name="__RefHeading___28"/>
      <w:bookmarkEnd w:id="113"/>
      <w:r>
        <w:rPr>
          <w:rFonts w:ascii="Times New Roman" w:hAnsi="Times New Roman"/>
        </w:rPr>
        <w:t>Технические требования и рекомендуемые параметры настройки рабочего места участника КЕГЭ для лиц с ОВЗ, детей-инвалидов и инвалидов</w:t>
      </w:r>
      <w:bookmarkEnd w:id="110"/>
      <w:bookmarkEnd w:id="111"/>
      <w:bookmarkEnd w:id="112"/>
    </w:p>
    <w:p>
      <w:pPr>
        <w:pStyle w:val="211"/>
        <w:keepNext w:val="true"/>
        <w:keepLines/>
        <w:tabs>
          <w:tab w:val="clear" w:pos="708"/>
          <w:tab w:val="left" w:pos="1155" w:leader="none"/>
        </w:tabs>
        <w:spacing w:lineRule="auto" w:line="240" w:before="0" w:after="0"/>
        <w:ind w:hanging="0" w:left="580" w:right="0"/>
        <w:contextualSpacing/>
        <w:jc w:val="both"/>
        <w:rPr>
          <w:rFonts w:ascii="Times New Roman" w:hAnsi="Times New Roman"/>
          <w:sz w:val="26"/>
        </w:rPr>
      </w:pPr>
      <w:r>
        <w:rPr>
          <w:rFonts w:ascii="Times New Roman" w:hAnsi="Times New Roman"/>
          <w:sz w:val="26"/>
        </w:rPr>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Рабочее место участника КЕГЭ для лиц с ОВЗ, детей-инвалидов и инвалидов оборудуется компьютером (ноутбуком), удовлетворяющим следующим техническим требованиям:</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слепых и слабовидящих участников экзамена, использующих рельефноточечный шрифт Брайля для чтения текстов заданий к КИМ (версия для участников с ОВЗ (расширенные настройки):</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Технические требования: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Процессор: количество ядер: от 4; частота: от 2,0 ГГц.</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Оперативная память: </w:t>
      </w:r>
      <w:r>
        <w:rPr>
          <w:rFonts w:ascii="Times New Roman" w:hAnsi="Times New Roman"/>
          <w:u w:val="single"/>
        </w:rPr>
        <w:t>от 8 Гбайт</w:t>
      </w:r>
      <w:r>
        <w:rPr>
          <w:rFonts w:ascii="Times New Roman" w:hAnsi="Times New Roman"/>
        </w:rPr>
        <w:t>; доступная (свободная) память для работы ПО (неиспользуемая прочими приложениями): не менее 1 Гбайт.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Свободное дисковое пространство: от 100 Гбайт; не менее 20% от общего объема жесткого диска.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Прочее оборудование: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Звуковая карта.</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Наушники или аудиогарнитура</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Видеокарта и монитор: разрешение не менее 1280 пикселей по горизонтали, не менее 1024 пикселей по вертикали; диагональ экрана: от 13 дюймов для ноутбуков, от 15 дюймов мониторов и моноблоков.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Внешний интерфейс: USB 2.0 и выше, рекомендуется не ниже USB 3.0, а также не менее двух свободных портов.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Манипулятор «мышь».</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Клавиатура </w:t>
      </w:r>
      <w:r>
        <w:rPr>
          <w:rFonts w:ascii="Times New Roman" w:hAnsi="Times New Roman"/>
          <w:u w:val="single"/>
        </w:rPr>
        <w:t>с рельефной маркировкой клавиш основного ряда (клавиши «А» и «О»)</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Портативный тактильный дисплей Брайля типа Focus 40 Blue или его аналог</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Программное обеспечение: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Операционные системы: Windows 8.1/10 (сборка 1607 и выше) платформы: </w:t>
      </w:r>
      <w:r>
        <w:rPr>
          <w:rFonts w:ascii="Times New Roman" w:hAnsi="Times New Roman"/>
          <w:u w:val="single"/>
        </w:rPr>
        <w:t>x64</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 C++, Pascal, Java, Python.</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Специализированное ПО: Программа экранного доступа или Программа экранного доступа и увеличения</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слабовидящих участников экзамена (версия для участников с ОВЗ (расширенные настройки):</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Технические требования: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Процессор: количество ядер: от 4; частота: от 2,0 ГГц.</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Оперативная память: </w:t>
      </w:r>
      <w:r>
        <w:rPr>
          <w:rFonts w:ascii="Times New Roman" w:hAnsi="Times New Roman"/>
          <w:u w:val="single"/>
        </w:rPr>
        <w:t>от 8 Гбайт</w:t>
      </w:r>
      <w:r>
        <w:rPr>
          <w:rFonts w:ascii="Times New Roman" w:hAnsi="Times New Roman"/>
        </w:rPr>
        <w:t>; доступная (свободная) память для работы ПО (неиспользуемая прочими приложениями): не менее 1 Гбайт.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Свободное дисковое пространство: от 100 Гбайт; не менее 20% от общего объема жесткого диска.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Прочее оборудование: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Звуковая карта.</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Наушники или аудиогарнитура</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Видеокарта и монитор: </w:t>
      </w:r>
      <w:r>
        <w:rPr>
          <w:rFonts w:ascii="Times New Roman" w:hAnsi="Times New Roman"/>
          <w:u w:val="single"/>
        </w:rPr>
        <w:t>диагональ экрана не менее 19 дюймов, разрешение не менее 1920х1080</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Внешний интерфейс: USB 2.0 и выше, рекомендуется не ниже USB 3.0, а также не менее двух свободных портов.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Манипулятор «мышь».</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Клавиатура </w:t>
      </w:r>
      <w:r>
        <w:rPr>
          <w:rFonts w:ascii="Times New Roman" w:hAnsi="Times New Roman"/>
          <w:u w:val="single"/>
        </w:rPr>
        <w:t>с рельефной маркировкой клавиш основного ряда (клавиши «А» и «О»)</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Увеличивающее устройство (рекомендуется).</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Программное обеспечение: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Операционные системы: Windows 8.1/10 (сборка 1607 и выше) платформы: </w:t>
      </w:r>
      <w:r>
        <w:rPr>
          <w:rFonts w:ascii="Times New Roman" w:hAnsi="Times New Roman"/>
          <w:u w:val="single"/>
        </w:rPr>
        <w:t>x64, настроенные с учетом индивидуальных зрительных возможностей экзаменуемых: контрастная цветовая схема (прямой или обратный контраст), увеличение масштаба экрана, увеличение и повышение контрастности указателя мыши, отображения основных элементов интерфейса в виде списка (меню, папки и т.д.), отображение расширений файлов в текстовом виде.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 C++, Pascal, Java, Python.</w:t>
      </w:r>
    </w:p>
    <w:p>
      <w:pPr>
        <w:pStyle w:val="111"/>
        <w:spacing w:lineRule="auto" w:line="240" w:before="0" w:after="0"/>
        <w:ind w:firstLine="580" w:left="0" w:right="0"/>
        <w:contextualSpacing/>
        <w:jc w:val="both"/>
        <w:rPr>
          <w:rFonts w:ascii="Times New Roman" w:hAnsi="Times New Roman"/>
        </w:rPr>
      </w:pPr>
      <w:r>
        <w:rPr>
          <w:rFonts w:ascii="Times New Roman" w:hAnsi="Times New Roman"/>
          <w:u w:val="single"/>
        </w:rPr>
        <w:t>Специализированное ПО: Программа экранного увеличения или Программа экранного доступа и увеличения.</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участников с нарушением опорно-двигательного аппарата (версия для участников с ОВЗ (расширенные настройки) при наличии соответствующих рекомендаций ПМПК):</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Технические требования:</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Процессор: количество ядер: от 4; частота: от 2,0 ГГц.</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Оперативная память: от 4 Гбайт; доступная (свободная) память для работы ПО (неиспользуемая прочими приложениями): не менее 1 Гбайт.</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Свободное дисковое пространство: от 100 Гбайт; не менее 20% от общего объема жесткого диска.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Прочее оборудование: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Звуковая карта.</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Видеокарта и монитор: </w:t>
      </w:r>
      <w:r>
        <w:rPr>
          <w:rFonts w:ascii="Times New Roman" w:hAnsi="Times New Roman"/>
          <w:u w:val="single"/>
        </w:rPr>
        <w:t>диагональ экрана не менее 19 дюймов, разрешение не менее 1920х1080</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Внешний интерфейс: USB 2.0 и выше, рекомендуется не ниже USB 3.0, а также не менее двух свободных портов.</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Манипулятор «мышь» </w:t>
      </w:r>
      <w:r>
        <w:rPr>
          <w:rFonts w:ascii="Times New Roman" w:hAnsi="Times New Roman"/>
          <w:u w:val="single"/>
        </w:rPr>
        <w:t>с учетом индивидуальных особенностей и потребностей экзаменуемого (ножная мышь, роллер, джойстик, головная мышь и др.).</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Клавиатура </w:t>
      </w:r>
      <w:r>
        <w:rPr>
          <w:rFonts w:ascii="Times New Roman" w:hAnsi="Times New Roman"/>
          <w:u w:val="single"/>
        </w:rPr>
        <w:t>с увеличенным размером клавиш, накладка для клавиатуры</w:t>
      </w:r>
      <w:r>
        <w:rPr>
          <w:rFonts w:ascii="Times New Roman" w:hAnsi="Times New Roman"/>
        </w:rPr>
        <w:t>.</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Программное обеспечение:</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 xml:space="preserve">Операционные системы: Windows 8.1/10 (сборка 1607 и выше) платформы: ia32 (x86), x64, </w:t>
      </w:r>
      <w:r>
        <w:rPr>
          <w:rFonts w:ascii="Times New Roman" w:hAnsi="Times New Roman"/>
          <w:u w:val="single"/>
        </w:rPr>
        <w:t>настроенные с учетом индивидуальных возможностей экзаменуемых: увеличение курсора, замедление скорости перемещения курсора, включение опции увеличения области просмотра и др.</w:t>
      </w:r>
    </w:p>
    <w:p>
      <w:pPr>
        <w:pStyle w:val="111"/>
        <w:spacing w:lineRule="auto" w:line="240" w:before="0" w:after="0"/>
        <w:ind w:firstLine="580" w:left="0" w:right="0"/>
        <w:contextualSpacing/>
        <w:jc w:val="both"/>
        <w:rPr>
          <w:rFonts w:ascii="Times New Roman" w:hAnsi="Times New Roman"/>
        </w:rPr>
      </w:pPr>
      <w:r>
        <w:rPr>
          <w:rFonts w:ascii="Times New Roman" w:hAnsi="Times New Roman"/>
        </w:rPr>
        <w:t>ПО, предоставляемое участнику экзамена (версии устанавливаемого ПО определяются субъектом Российской Федерации): редакторы электронных таблиц, текстовые редакторы, среды программирования на языках - C++, Pascal, Java, Python.</w:t>
      </w:r>
    </w:p>
    <w:p>
      <w:pPr>
        <w:pStyle w:val="111"/>
        <w:spacing w:lineRule="auto" w:line="240" w:before="0" w:after="0"/>
        <w:ind w:firstLine="580" w:left="0" w:right="0"/>
        <w:contextualSpacing/>
        <w:jc w:val="both"/>
        <w:rPr>
          <w:rFonts w:ascii="Times New Roman" w:hAnsi="Times New Roman"/>
        </w:rPr>
      </w:pPr>
      <w:r>
        <w:rPr>
          <w:rFonts w:ascii="Times New Roman" w:hAnsi="Times New Roman"/>
          <w:b/>
        </w:rPr>
        <w:t>Для всех категорий участников при наличии соответствующих рекомендаций ПМПК при установке ПО «Станция КЕГЭ», версия «для участников с ОВЗ (расширенные настройки)», установка и запуск станции КЕГЭ выполняются под учетной записью с правами локального администратора.</w:t>
      </w:r>
    </w:p>
    <w:p>
      <w:pPr>
        <w:sectPr>
          <w:headerReference w:type="default" r:id="rId16"/>
          <w:headerReference w:type="first" r:id="rId17"/>
          <w:footerReference w:type="default" r:id="rId18"/>
          <w:footerReference w:type="first" r:id="rId19"/>
          <w:footnotePr>
            <w:numFmt w:val="decimal"/>
          </w:footnotePr>
          <w:type w:val="nextPage"/>
          <w:pgSz w:w="11906" w:h="16838"/>
          <w:pgMar w:left="1081" w:right="504" w:gutter="0" w:header="416" w:top="844" w:footer="3" w:bottom="1468"/>
          <w:pgNumType w:fmt="decimal"/>
          <w:formProt w:val="false"/>
          <w:textDirection w:val="lrTb"/>
          <w:docGrid w:type="default" w:linePitch="100" w:charSpace="0"/>
        </w:sectPr>
        <w:pStyle w:val="111"/>
        <w:spacing w:lineRule="auto" w:line="240" w:before="0" w:after="0"/>
        <w:ind w:firstLine="580" w:left="0" w:right="0"/>
        <w:contextualSpacing/>
        <w:jc w:val="both"/>
        <w:rPr>
          <w:rFonts w:ascii="Times New Roman" w:hAnsi="Times New Roman"/>
        </w:rPr>
      </w:pPr>
      <w:r>
        <w:rPr>
          <w:rFonts w:ascii="Times New Roman" w:hAnsi="Times New Roman"/>
        </w:rPr>
      </w:r>
    </w:p>
    <w:p>
      <w:pPr>
        <w:pStyle w:val="Heading2"/>
        <w:keepNext w:val="true"/>
        <w:keepLines/>
        <w:widowControl w:val="false"/>
        <w:numPr>
          <w:ilvl w:val="0"/>
          <w:numId w:val="3"/>
        </w:numPr>
        <w:tabs>
          <w:tab w:val="clear" w:pos="1281"/>
          <w:tab w:val="left" w:pos="2127" w:leader="none"/>
        </w:tabs>
        <w:bidi w:val="0"/>
        <w:spacing w:lineRule="auto" w:line="240" w:before="0" w:after="0"/>
        <w:ind w:hanging="567" w:left="1417" w:right="0"/>
        <w:contextualSpacing/>
        <w:jc w:val="center"/>
        <w:rPr>
          <w:rFonts w:ascii="Times New Roman" w:hAnsi="Times New Roman"/>
        </w:rPr>
      </w:pPr>
      <w:bookmarkStart w:id="114" w:name="__RefHeading___29"/>
      <w:bookmarkStart w:id="115" w:name="bookmark104"/>
      <w:bookmarkStart w:id="116" w:name="bookmark106"/>
      <w:bookmarkStart w:id="117" w:name="bookmark105"/>
      <w:bookmarkEnd w:id="114"/>
      <w:r>
        <w:rPr>
          <w:rFonts w:ascii="Times New Roman" w:hAnsi="Times New Roman"/>
        </w:rPr>
        <w:t xml:space="preserve">Особенности организации пункта проведения экзамена для участников </w:t>
        <w:br/>
        <w:t>экзамена с ОВЗ, детей-инвалидов и инвалидов при проведении КЕГЭ</w:t>
      </w:r>
      <w:bookmarkEnd w:id="115"/>
      <w:bookmarkEnd w:id="116"/>
      <w:bookmarkEnd w:id="117"/>
    </w:p>
    <w:tbl>
      <w:tblPr>
        <w:tblStyle w:val="Style_16"/>
        <w:tblW w:w="14879" w:type="dxa"/>
        <w:jc w:val="left"/>
        <w:tblInd w:w="0" w:type="dxa"/>
        <w:tblLayout w:type="fixed"/>
        <w:tblCellMar>
          <w:top w:w="0" w:type="dxa"/>
          <w:left w:w="108" w:type="dxa"/>
          <w:bottom w:w="0" w:type="dxa"/>
          <w:right w:w="108" w:type="dxa"/>
        </w:tblCellMar>
      </w:tblPr>
      <w:tblGrid>
        <w:gridCol w:w="703"/>
        <w:gridCol w:w="2490"/>
        <w:gridCol w:w="2489"/>
        <w:gridCol w:w="4236"/>
        <w:gridCol w:w="2834"/>
        <w:gridCol w:w="2126"/>
      </w:tblGrid>
      <w:tr>
        <w:trPr/>
        <w:tc>
          <w:tcPr>
            <w:tcW w:w="703"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90" w:type="dxa"/>
            <w:vMerge w:val="restart"/>
            <w:tcBorders/>
          </w:tcPr>
          <w:p>
            <w:pPr>
              <w:pStyle w:val="12"/>
              <w:widowControl w:val="false"/>
              <w:spacing w:lineRule="auto" w:line="240" w:before="0" w:after="0"/>
              <w:ind w:hanging="0" w:left="0" w:right="0"/>
              <w:contextualSpacing/>
              <w:jc w:val="center"/>
              <w:rPr>
                <w:rFonts w:ascii="Times New Roman" w:hAnsi="Times New Roman"/>
                <w:spacing w:val="0"/>
                <w:kern w:val="0"/>
                <w:szCs w:val="20"/>
              </w:rPr>
            </w:pPr>
            <w:r>
              <w:rPr>
                <w:rFonts w:ascii="Times New Roman" w:hAnsi="Times New Roman"/>
                <w:b/>
                <w:spacing w:val="0"/>
                <w:kern w:val="0"/>
                <w:sz w:val="24"/>
                <w:szCs w:val="20"/>
              </w:rPr>
              <w:t xml:space="preserve">Категория участников экзамена </w:t>
            </w:r>
            <w:r>
              <w:rPr>
                <w:rFonts w:ascii="Times New Roman" w:hAnsi="Times New Roman"/>
                <w:b/>
                <w:spacing w:val="0"/>
                <w:kern w:val="0"/>
                <w:szCs w:val="20"/>
              </w:rPr>
              <w:t>с ОВЗ</w:t>
            </w:r>
          </w:p>
        </w:tc>
        <w:tc>
          <w:tcPr>
            <w:tcW w:w="11685" w:type="dxa"/>
            <w:gridSpan w:val="4"/>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Перечень особых условий проведения ГИА в ППЭ для отдельных лиц с ОВЗ, детей</w:t>
            </w:r>
            <w:r>
              <w:rPr>
                <w:rFonts w:ascii="Times New Roman" w:hAnsi="Times New Roman"/>
                <w:spacing w:val="0"/>
                <w:kern w:val="0"/>
                <w:sz w:val="24"/>
                <w:szCs w:val="20"/>
              </w:rPr>
              <w:t>-</w:t>
            </w:r>
            <w:r>
              <w:rPr>
                <w:rFonts w:ascii="Times New Roman" w:hAnsi="Times New Roman"/>
                <w:b/>
                <w:spacing w:val="0"/>
                <w:kern w:val="0"/>
                <w:sz w:val="24"/>
                <w:szCs w:val="20"/>
              </w:rPr>
              <w:t>инвалидов и инвалидов</w:t>
            </w:r>
          </w:p>
        </w:tc>
      </w:tr>
      <w:tr>
        <w:trPr/>
        <w:tc>
          <w:tcPr>
            <w:tcW w:w="703"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90"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89"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Оформление КИМ</w:t>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Рабочее место</w:t>
            </w:r>
          </w:p>
        </w:tc>
        <w:tc>
          <w:tcPr>
            <w:tcW w:w="2834"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Работа ассистента</w:t>
            </w:r>
          </w:p>
        </w:tc>
        <w:tc>
          <w:tcPr>
            <w:tcW w:w="212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Оформление работы</w:t>
            </w:r>
          </w:p>
        </w:tc>
      </w:tr>
      <w:tr>
        <w:trPr/>
        <w:tc>
          <w:tcPr>
            <w:tcW w:w="703"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1</w:t>
            </w:r>
          </w:p>
        </w:tc>
        <w:tc>
          <w:tcPr>
            <w:tcW w:w="2490"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b/>
                <w:spacing w:val="0"/>
                <w:kern w:val="0"/>
                <w:sz w:val="24"/>
                <w:szCs w:val="20"/>
              </w:rPr>
              <w:t xml:space="preserve">Слепые, поздно- ослепшие, слабовидящие, использующие </w:t>
            </w:r>
            <w:r>
              <w:rPr>
                <w:rFonts w:ascii="Times New Roman" w:hAnsi="Times New Roman"/>
                <w:b/>
                <w:spacing w:val="-1"/>
                <w:kern w:val="0"/>
                <w:sz w:val="24"/>
                <w:szCs w:val="20"/>
              </w:rPr>
              <w:t xml:space="preserve">шрифт </w:t>
            </w:r>
            <w:r>
              <w:rPr>
                <w:rFonts w:ascii="Times New Roman" w:hAnsi="Times New Roman"/>
                <w:b/>
                <w:spacing w:val="0"/>
                <w:kern w:val="0"/>
                <w:sz w:val="24"/>
                <w:szCs w:val="20"/>
              </w:rPr>
              <w:t>Брайля</w:t>
            </w:r>
          </w:p>
        </w:tc>
        <w:tc>
          <w:tcPr>
            <w:tcW w:w="2489" w:type="dxa"/>
            <w:vMerge w:val="restart"/>
            <w:tcBorders/>
          </w:tcPr>
          <w:p>
            <w:pPr>
              <w:pStyle w:val="TableParagraph1"/>
              <w:widowControl w:val="false"/>
              <w:tabs>
                <w:tab w:val="clear" w:pos="708"/>
                <w:tab w:val="left" w:pos="1186" w:leader="none"/>
              </w:tabs>
              <w:spacing w:lineRule="auto" w:line="240" w:before="0" w:after="0"/>
              <w:ind w:hanging="0" w:left="100" w:right="102"/>
              <w:contextualSpacing/>
              <w:jc w:val="both"/>
              <w:rPr>
                <w:rFonts w:ascii="Times New Roman" w:hAnsi="Times New Roman"/>
                <w:spacing w:val="0"/>
                <w:kern w:val="0"/>
                <w:szCs w:val="20"/>
              </w:rPr>
            </w:pPr>
            <w:r>
              <w:rPr>
                <w:rFonts w:ascii="Times New Roman" w:hAnsi="Times New Roman"/>
                <w:spacing w:val="0"/>
                <w:kern w:val="0"/>
                <w:sz w:val="24"/>
                <w:szCs w:val="20"/>
              </w:rPr>
              <w:t>Перевод текста заданий к КИМ</w:t>
            </w:r>
          </w:p>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на шрифт Брайля</w:t>
            </w:r>
          </w:p>
        </w:tc>
        <w:tc>
          <w:tcPr>
            <w:tcW w:w="4236" w:type="dxa"/>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Ассистент оказывает помощь в при переносе контрольной суммы в бланк регистрации по окончании экзамена</w:t>
            </w:r>
          </w:p>
        </w:tc>
        <w:tc>
          <w:tcPr>
            <w:tcW w:w="2126"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Ассистент оформляет регистрационный бланк</w:t>
            </w:r>
          </w:p>
        </w:tc>
      </w:tr>
      <w:tr>
        <w:trPr/>
        <w:tc>
          <w:tcPr>
            <w:tcW w:w="703"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90"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89"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4236" w:type="dxa"/>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Рабочее место оборудовано компьютером с наушниками, портативным тактильным дисплеем Брайля, установленным специализированным ПО, обеспечивающим озвучивание элементов интерфейса и вводимых символов</w:t>
            </w:r>
          </w:p>
        </w:tc>
        <w:tc>
          <w:tcPr>
            <w:tcW w:w="2834"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rHeight w:val="276" w:hRule="atLeast"/>
        </w:trPr>
        <w:tc>
          <w:tcPr>
            <w:tcW w:w="703"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2</w:t>
            </w:r>
          </w:p>
        </w:tc>
        <w:tc>
          <w:tcPr>
            <w:tcW w:w="2490"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b/>
                <w:spacing w:val="0"/>
                <w:kern w:val="0"/>
                <w:sz w:val="24"/>
                <w:szCs w:val="20"/>
              </w:rPr>
              <w:t>Слабовидящие</w:t>
            </w:r>
          </w:p>
        </w:tc>
        <w:tc>
          <w:tcPr>
            <w:tcW w:w="2489"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нет</w:t>
            </w:r>
          </w:p>
        </w:tc>
        <w:tc>
          <w:tcPr>
            <w:tcW w:w="4236" w:type="dxa"/>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spacing w:val="0"/>
                <w:kern w:val="0"/>
                <w:sz w:val="24"/>
                <w:szCs w:val="20"/>
              </w:rPr>
              <w:t>Участник экзамена может использовать бланк регистрации увеличенного размера (до А3)</w:t>
            </w:r>
          </w:p>
        </w:tc>
      </w:tr>
      <w:tr>
        <w:trPr/>
        <w:tc>
          <w:tcPr>
            <w:tcW w:w="703"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90"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89"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 xml:space="preserve">Рабочее место оборудовано компьютером с наушниками, установленным специализированном ПО, обеспечивающим озвучивание элементов интерфейса и вводимых символов, увеличение экрана, электронным </w:t>
            </w:r>
            <w:r>
              <w:rPr>
                <w:rFonts w:ascii="Times New Roman" w:hAnsi="Times New Roman"/>
                <w:spacing w:val="-1"/>
                <w:kern w:val="0"/>
                <w:sz w:val="24"/>
                <w:szCs w:val="20"/>
              </w:rPr>
              <w:t xml:space="preserve">увеличивающим </w:t>
            </w:r>
            <w:r>
              <w:rPr>
                <w:rFonts w:ascii="Times New Roman" w:hAnsi="Times New Roman"/>
                <w:spacing w:val="0"/>
                <w:kern w:val="0"/>
                <w:sz w:val="24"/>
                <w:szCs w:val="20"/>
              </w:rPr>
              <w:t>устройством (при наличии), диагональ монитора не менее 19</w:t>
            </w:r>
            <w:r>
              <w:rPr>
                <w:rFonts w:ascii="Times New Roman" w:hAnsi="Times New Roman"/>
                <w:spacing w:val="-1"/>
                <w:kern w:val="0"/>
                <w:sz w:val="24"/>
                <w:szCs w:val="20"/>
              </w:rPr>
              <w:t xml:space="preserve"> </w:t>
            </w:r>
            <w:r>
              <w:rPr>
                <w:rFonts w:ascii="Times New Roman" w:hAnsi="Times New Roman"/>
                <w:spacing w:val="0"/>
                <w:kern w:val="0"/>
                <w:sz w:val="24"/>
                <w:szCs w:val="20"/>
              </w:rPr>
              <w:t>дюймов</w:t>
            </w:r>
          </w:p>
        </w:tc>
        <w:tc>
          <w:tcPr>
            <w:tcW w:w="2834"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c>
          <w:tcPr>
            <w:tcW w:w="703"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3</w:t>
            </w:r>
          </w:p>
        </w:tc>
        <w:tc>
          <w:tcPr>
            <w:tcW w:w="2490" w:type="dxa"/>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b/>
                <w:spacing w:val="0"/>
                <w:kern w:val="0"/>
                <w:sz w:val="24"/>
                <w:szCs w:val="20"/>
              </w:rPr>
              <w:t>Глухие, поздно- оглохшие</w:t>
            </w:r>
          </w:p>
        </w:tc>
        <w:tc>
          <w:tcPr>
            <w:tcW w:w="2489"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нет</w:t>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c>
          <w:tcPr>
            <w:tcW w:w="703"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4</w:t>
            </w:r>
          </w:p>
        </w:tc>
        <w:tc>
          <w:tcPr>
            <w:tcW w:w="2490" w:type="dxa"/>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b/>
                <w:spacing w:val="0"/>
                <w:kern w:val="0"/>
                <w:sz w:val="24"/>
                <w:szCs w:val="20"/>
              </w:rPr>
              <w:t>Слабо-слышащие, кохлеарно имплантированные</w:t>
            </w:r>
          </w:p>
        </w:tc>
        <w:tc>
          <w:tcPr>
            <w:tcW w:w="2489"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нет</w:t>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c>
          <w:tcPr>
            <w:tcW w:w="703"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5</w:t>
            </w:r>
          </w:p>
        </w:tc>
        <w:tc>
          <w:tcPr>
            <w:tcW w:w="2490" w:type="dxa"/>
            <w:vMerge w:val="restart"/>
            <w:tcBorders/>
          </w:tcPr>
          <w:p>
            <w:pPr>
              <w:pStyle w:val="Normal"/>
              <w:widowControl w:val="false"/>
              <w:spacing w:lineRule="auto" w:line="240" w:before="0" w:after="0"/>
              <w:ind w:hanging="0" w:left="0" w:right="0"/>
              <w:contextualSpacing/>
              <w:jc w:val="both"/>
              <w:rPr>
                <w:rFonts w:ascii="Times New Roman" w:hAnsi="Times New Roman"/>
                <w:spacing w:val="0"/>
                <w:kern w:val="0"/>
                <w:sz w:val="24"/>
                <w:szCs w:val="20"/>
              </w:rPr>
            </w:pPr>
            <w:r>
              <w:rPr>
                <w:rFonts w:ascii="Times New Roman" w:hAnsi="Times New Roman"/>
                <w:b/>
                <w:spacing w:val="0"/>
                <w:kern w:val="0"/>
                <w:sz w:val="24"/>
                <w:szCs w:val="20"/>
              </w:rPr>
              <w:t>С нарушениям и опорно- двигательного аппарата</w:t>
            </w:r>
          </w:p>
        </w:tc>
        <w:tc>
          <w:tcPr>
            <w:tcW w:w="2489"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нет</w:t>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По окончании выполнения участником ЭР ассистент переносит контрольную сумму в бланк регистрации</w:t>
            </w:r>
          </w:p>
        </w:tc>
        <w:tc>
          <w:tcPr>
            <w:tcW w:w="2126" w:type="dxa"/>
            <w:vMerge w:val="restart"/>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Ассистент оформляет регистрационный</w:t>
            </w:r>
            <w:r>
              <w:rPr>
                <w:rFonts w:ascii="Times New Roman" w:hAnsi="Times New Roman"/>
                <w:spacing w:val="-7"/>
                <w:kern w:val="0"/>
                <w:sz w:val="24"/>
                <w:szCs w:val="20"/>
              </w:rPr>
              <w:t xml:space="preserve"> </w:t>
            </w:r>
            <w:r>
              <w:rPr>
                <w:rFonts w:ascii="Times New Roman" w:hAnsi="Times New Roman"/>
                <w:spacing w:val="0"/>
                <w:kern w:val="0"/>
                <w:sz w:val="24"/>
                <w:szCs w:val="20"/>
              </w:rPr>
              <w:t>бланк</w:t>
            </w:r>
          </w:p>
        </w:tc>
      </w:tr>
      <w:tr>
        <w:trPr/>
        <w:tc>
          <w:tcPr>
            <w:tcW w:w="703"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90"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489"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Рабочее место оборудовано компьютером со специальным периферическим устройством ввода (ножная мышь, роллер, джойстик, головная мышь и др.), клавиатурой с увеличенным размером клавиш или виртуальной клавиатурой, обеспечена возможность подключения специальных настроек: увеличение курсора, замедление скорости перемещения курсора, включение опции увеличения области просмотра и др.), диагональ монитора не менее 19 дюймов</w:t>
            </w:r>
          </w:p>
        </w:tc>
        <w:tc>
          <w:tcPr>
            <w:tcW w:w="2834"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vMerge w:val="continue"/>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c>
          <w:tcPr>
            <w:tcW w:w="703"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6</w:t>
            </w:r>
          </w:p>
        </w:tc>
        <w:tc>
          <w:tcPr>
            <w:tcW w:w="2490" w:type="dxa"/>
            <w:tcBorders/>
          </w:tcPr>
          <w:p>
            <w:pPr>
              <w:pStyle w:val="TableParagraph1"/>
              <w:widowControl w:val="false"/>
              <w:spacing w:lineRule="auto" w:line="240" w:before="0" w:after="0"/>
              <w:ind w:hanging="0" w:left="0" w:right="142"/>
              <w:contextualSpacing/>
              <w:jc w:val="left"/>
              <w:rPr>
                <w:rFonts w:ascii="Times New Roman" w:hAnsi="Times New Roman"/>
                <w:spacing w:val="0"/>
                <w:kern w:val="0"/>
                <w:szCs w:val="20"/>
              </w:rPr>
            </w:pPr>
            <w:r>
              <w:rPr>
                <w:rFonts w:ascii="Times New Roman" w:hAnsi="Times New Roman"/>
                <w:b/>
                <w:spacing w:val="0"/>
                <w:kern w:val="0"/>
                <w:sz w:val="24"/>
                <w:szCs w:val="20"/>
              </w:rPr>
              <w:t xml:space="preserve">Обучающиеся </w:t>
            </w:r>
            <w:r>
              <w:rPr>
                <w:rFonts w:ascii="Times New Roman" w:hAnsi="Times New Roman"/>
                <w:b/>
                <w:spacing w:val="0"/>
                <w:kern w:val="0"/>
                <w:szCs w:val="20"/>
              </w:rPr>
              <w:t>с расстройствами аутистического спектра</w:t>
            </w:r>
          </w:p>
        </w:tc>
        <w:tc>
          <w:tcPr>
            <w:tcW w:w="2489"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нет</w:t>
            </w:r>
          </w:p>
        </w:tc>
        <w:tc>
          <w:tcPr>
            <w:tcW w:w="423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Отдельная аудитория</w:t>
            </w:r>
          </w:p>
        </w:tc>
        <w:tc>
          <w:tcPr>
            <w:tcW w:w="2834"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c>
          <w:tcPr>
            <w:tcW w:w="2126"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r>
          </w:p>
        </w:tc>
      </w:tr>
      <w:tr>
        <w:trPr/>
        <w:tc>
          <w:tcPr>
            <w:tcW w:w="703"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7</w:t>
            </w:r>
          </w:p>
        </w:tc>
        <w:tc>
          <w:tcPr>
            <w:tcW w:w="2490"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b/>
                <w:spacing w:val="0"/>
                <w:kern w:val="0"/>
                <w:sz w:val="24"/>
                <w:szCs w:val="20"/>
              </w:rPr>
              <w:t>Иные категории участников экзамена, которым требуется создание специальных условий</w:t>
            </w:r>
          </w:p>
        </w:tc>
        <w:tc>
          <w:tcPr>
            <w:tcW w:w="2489" w:type="dxa"/>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нет</w:t>
            </w:r>
          </w:p>
        </w:tc>
        <w:tc>
          <w:tcPr>
            <w:tcW w:w="9196" w:type="dxa"/>
            <w:gridSpan w:val="3"/>
            <w:tcBorders/>
          </w:tcPr>
          <w:p>
            <w:pPr>
              <w:pStyle w:val="Normal"/>
              <w:widowControl w:val="false"/>
              <w:spacing w:lineRule="auto" w:line="240" w:before="0" w:after="0"/>
              <w:ind w:hanging="0" w:left="0" w:right="0"/>
              <w:contextualSpacing/>
              <w:jc w:val="left"/>
              <w:rPr>
                <w:rFonts w:ascii="Times New Roman" w:hAnsi="Times New Roman"/>
                <w:spacing w:val="0"/>
                <w:kern w:val="0"/>
                <w:sz w:val="24"/>
                <w:szCs w:val="20"/>
              </w:rPr>
            </w:pPr>
            <w:r>
              <w:rPr>
                <w:rFonts w:ascii="Times New Roman" w:hAnsi="Times New Roman"/>
                <w:spacing w:val="0"/>
                <w:kern w:val="0"/>
                <w:sz w:val="24"/>
                <w:szCs w:val="20"/>
              </w:rPr>
              <w:t>В соответствии с рекомендациями ПМПК</w:t>
            </w:r>
          </w:p>
        </w:tc>
      </w:tr>
    </w:tbl>
    <w:p>
      <w:pPr>
        <w:pStyle w:val="Normal"/>
        <w:spacing w:lineRule="auto" w:line="240" w:before="0" w:after="0"/>
        <w:contextualSpacing/>
        <w:rPr>
          <w:rFonts w:ascii="Times New Roman" w:hAnsi="Times New Roman"/>
        </w:rPr>
      </w:pPr>
      <w:r>
        <w:rPr>
          <w:rFonts w:ascii="Times New Roman" w:hAnsi="Times New Roman"/>
        </w:rPr>
      </w:r>
    </w:p>
    <w:p>
      <w:pPr>
        <w:pStyle w:val="Heading1"/>
        <w:keepNext w:val="true"/>
        <w:keepLines/>
        <w:widowControl w:val="false"/>
        <w:numPr>
          <w:ilvl w:val="0"/>
          <w:numId w:val="6"/>
        </w:numPr>
        <w:bidi w:val="0"/>
        <w:spacing w:lineRule="auto" w:line="240" w:before="300" w:after="120"/>
        <w:ind w:firstLine="1134" w:left="0" w:right="0"/>
        <w:jc w:val="center"/>
        <w:rPr/>
      </w:pPr>
      <w:bookmarkStart w:id="118" w:name="__RefHeading___30"/>
      <w:bookmarkStart w:id="119" w:name="bookmark107"/>
      <w:bookmarkStart w:id="120" w:name="bookmark109"/>
      <w:bookmarkStart w:id="121" w:name="bookmark108"/>
      <w:bookmarkEnd w:id="118"/>
      <w:r>
        <w:rPr/>
        <w:t>Черновик участника ЕГЭ по информатике в компьютерной форме</w:t>
      </w:r>
      <w:bookmarkEnd w:id="119"/>
      <w:bookmarkEnd w:id="120"/>
      <w:bookmarkEnd w:id="121"/>
      <w:r>
        <w:rPr/>
        <w:t xml:space="preserve"> </w:t>
      </w:r>
    </w:p>
    <w:p>
      <w:pPr>
        <w:pStyle w:val="TableParagraph1"/>
        <w:ind w:firstLine="709" w:left="0" w:right="0"/>
        <w:jc w:val="center"/>
        <w:rPr/>
      </w:pPr>
      <w:r>
        <w:rPr/>
        <w:drawing>
          <wp:inline distT="0" distB="0" distL="0" distR="0">
            <wp:extent cx="8157210" cy="5557520"/>
            <wp:effectExtent l="0" t="0" r="0" b="0"/>
            <wp:docPr id="12" name="Pictur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
                    <pic:cNvPicPr>
                      <a:picLocks noChangeAspect="1" noChangeArrowheads="1"/>
                    </pic:cNvPicPr>
                  </pic:nvPicPr>
                  <pic:blipFill>
                    <a:blip r:embed="rId20"/>
                    <a:stretch>
                      <a:fillRect/>
                    </a:stretch>
                  </pic:blipFill>
                  <pic:spPr bwMode="auto">
                    <a:xfrm>
                      <a:off x="0" y="0"/>
                      <a:ext cx="8157210" cy="5557520"/>
                    </a:xfrm>
                    <a:prstGeom prst="rect">
                      <a:avLst/>
                    </a:prstGeom>
                  </pic:spPr>
                </pic:pic>
              </a:graphicData>
            </a:graphic>
          </wp:inline>
        </w:drawing>
      </w:r>
    </w:p>
    <w:p>
      <w:pPr>
        <w:pStyle w:val="14"/>
        <w:spacing w:before="120" w:after="120"/>
        <w:ind w:firstLine="720" w:left="0" w:right="0"/>
        <w:jc w:val="left"/>
        <w:rPr>
          <w:sz w:val="26"/>
        </w:rPr>
      </w:pPr>
      <w:r>
        <w:rPr>
          <w:sz w:val="26"/>
        </w:rPr>
      </w:r>
    </w:p>
    <w:p>
      <w:pPr>
        <w:sectPr>
          <w:headerReference w:type="default" r:id="rId22"/>
          <w:headerReference w:type="first" r:id="rId23"/>
          <w:footerReference w:type="default" r:id="rId24"/>
          <w:footerReference w:type="first" r:id="rId25"/>
          <w:footnotePr>
            <w:numFmt w:val="decimal"/>
          </w:footnotePr>
          <w:type w:val="nextPage"/>
          <w:pgSz w:orient="landscape" w:w="16838" w:h="11906"/>
          <w:pgMar w:left="802" w:right="1095" w:gutter="0" w:header="688" w:top="1116" w:footer="48" w:bottom="476"/>
          <w:pgNumType w:fmt="decimal"/>
          <w:formProt w:val="false"/>
          <w:textDirection w:val="lrTb"/>
          <w:docGrid w:type="default" w:linePitch="100" w:charSpace="0"/>
        </w:sectPr>
        <w:pStyle w:val="14"/>
        <w:spacing w:before="120" w:after="120"/>
        <w:ind w:firstLine="720" w:left="0" w:right="0"/>
        <w:jc w:val="center"/>
        <w:rPr>
          <w:sz w:val="26"/>
        </w:rPr>
      </w:pPr>
      <w:r>
        <w:rPr/>
        <w:drawing>
          <wp:inline distT="0" distB="0" distL="0" distR="0">
            <wp:extent cx="8051165" cy="5676265"/>
            <wp:effectExtent l="0" t="0" r="0" b="0"/>
            <wp:docPr id="13" name="Pictur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descr=""/>
                    <pic:cNvPicPr>
                      <a:picLocks noChangeAspect="1" noChangeArrowheads="1"/>
                    </pic:cNvPicPr>
                  </pic:nvPicPr>
                  <pic:blipFill>
                    <a:blip r:embed="rId21"/>
                    <a:stretch>
                      <a:fillRect/>
                    </a:stretch>
                  </pic:blipFill>
                  <pic:spPr bwMode="auto">
                    <a:xfrm>
                      <a:off x="0" y="0"/>
                      <a:ext cx="8051165" cy="5676265"/>
                    </a:xfrm>
                    <a:prstGeom prst="rect">
                      <a:avLst/>
                    </a:prstGeom>
                  </pic:spPr>
                </pic:pic>
              </a:graphicData>
            </a:graphic>
          </wp:inline>
        </w:drawing>
      </w:r>
    </w:p>
    <w:p>
      <w:pPr>
        <w:pStyle w:val="14"/>
        <w:jc w:val="left"/>
        <w:rPr>
          <w:sz w:val="26"/>
        </w:rPr>
      </w:pPr>
      <w:r>
        <w:rPr>
          <w:sz w:val="26"/>
        </w:rPr>
      </w:r>
    </w:p>
    <w:p>
      <w:pPr>
        <w:pStyle w:val="Normal"/>
        <w:spacing w:lineRule="exact" w:line="360"/>
        <w:ind w:firstLine="709" w:left="0" w:right="0"/>
        <w:rPr/>
      </w:pPr>
      <w:r>
        <w:rPr/>
        <w:drawing>
          <wp:anchor behindDoc="0" distT="0" distB="0" distL="114300" distR="114300" simplePos="0" locked="0" layoutInCell="0" allowOverlap="1" relativeHeight="173">
            <wp:simplePos x="0" y="0"/>
            <wp:positionH relativeFrom="column">
              <wp:posOffset>520065</wp:posOffset>
            </wp:positionH>
            <wp:positionV relativeFrom="paragraph">
              <wp:posOffset>635</wp:posOffset>
            </wp:positionV>
            <wp:extent cx="8031480" cy="5221605"/>
            <wp:effectExtent l="0" t="0" r="0" b="0"/>
            <wp:wrapSquare wrapText="bothSides"/>
            <wp:docPr id="15" name="Pictur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7" descr=""/>
                    <pic:cNvPicPr>
                      <a:picLocks noChangeAspect="1" noChangeArrowheads="1"/>
                    </pic:cNvPicPr>
                  </pic:nvPicPr>
                  <pic:blipFill>
                    <a:blip r:embed="rId26"/>
                    <a:stretch>
                      <a:fillRect/>
                    </a:stretch>
                  </pic:blipFill>
                  <pic:spPr bwMode="auto">
                    <a:xfrm>
                      <a:off x="0" y="0"/>
                      <a:ext cx="8031480" cy="5221605"/>
                    </a:xfrm>
                    <a:prstGeom prst="rect">
                      <a:avLst/>
                    </a:prstGeom>
                  </pic:spPr>
                </pic:pic>
              </a:graphicData>
            </a:graphic>
          </wp:anchor>
        </w:drawing>
      </w:r>
    </w:p>
    <w:p>
      <w:pPr>
        <w:pStyle w:val="Normal"/>
        <w:spacing w:lineRule="exact" w:line="360"/>
        <w:rPr/>
      </w:pPr>
      <w:r>
        <w:rPr/>
      </w:r>
    </w:p>
    <w:p>
      <w:pPr>
        <w:pStyle w:val="Normal"/>
        <w:spacing w:lineRule="exact" w:line="1" w:before="0" w:after="714"/>
        <w:rPr/>
      </w:pPr>
      <w:r>
        <w:rPr/>
      </w:r>
    </w:p>
    <w:p>
      <w:pPr>
        <w:sectPr>
          <w:headerReference w:type="default" r:id="rId27"/>
          <w:headerReference w:type="first" r:id="rId28"/>
          <w:footerReference w:type="default" r:id="rId29"/>
          <w:footerReference w:type="first" r:id="rId30"/>
          <w:footnotePr>
            <w:numFmt w:val="decimal"/>
          </w:footnotePr>
          <w:type w:val="nextPage"/>
          <w:pgSz w:orient="landscape" w:w="16838" w:h="11906"/>
          <w:pgMar w:left="1326" w:right="2272" w:gutter="0" w:header="721" w:top="1149" w:footer="47" w:bottom="475"/>
          <w:pgNumType w:fmt="decimal"/>
          <w:formProt w:val="false"/>
          <w:textDirection w:val="lrTb"/>
          <w:docGrid w:type="default" w:linePitch="100" w:charSpace="0"/>
        </w:sectPr>
        <w:pStyle w:val="Normal"/>
        <w:spacing w:lineRule="exact" w:line="1"/>
        <w:rPr/>
      </w:pPr>
      <w:r>
        <w:rPr/>
      </w:r>
    </w:p>
    <w:p>
      <w:pPr>
        <w:pStyle w:val="14"/>
        <w:jc w:val="left"/>
        <w:rPr>
          <w:sz w:val="26"/>
        </w:rPr>
      </w:pPr>
      <w:r>
        <w:rPr>
          <w:sz w:val="26"/>
        </w:rPr>
      </w:r>
    </w:p>
    <w:p>
      <w:pPr>
        <w:pStyle w:val="Normal"/>
        <w:spacing w:lineRule="exact" w:line="360"/>
        <w:rPr/>
      </w:pPr>
      <w:r>
        <w:rPr/>
      </w:r>
    </w:p>
    <w:p>
      <w:pPr>
        <w:pStyle w:val="Normal"/>
        <w:spacing w:lineRule="exact" w:line="360"/>
        <w:rPr/>
      </w:pPr>
      <w:r>
        <w:rPr/>
        <w:drawing>
          <wp:anchor behindDoc="0" distT="0" distB="0" distL="114300" distR="114300" simplePos="0" locked="0" layoutInCell="0" allowOverlap="1" relativeHeight="266">
            <wp:simplePos x="0" y="0"/>
            <wp:positionH relativeFrom="column">
              <wp:posOffset>649605</wp:posOffset>
            </wp:positionH>
            <wp:positionV relativeFrom="paragraph">
              <wp:posOffset>635</wp:posOffset>
            </wp:positionV>
            <wp:extent cx="8124825" cy="5231765"/>
            <wp:effectExtent l="0" t="0" r="0" b="0"/>
            <wp:wrapSquare wrapText="bothSides"/>
            <wp:docPr id="17" name="Pictur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9" descr=""/>
                    <pic:cNvPicPr>
                      <a:picLocks noChangeAspect="1" noChangeArrowheads="1"/>
                    </pic:cNvPicPr>
                  </pic:nvPicPr>
                  <pic:blipFill>
                    <a:blip r:embed="rId31"/>
                    <a:stretch>
                      <a:fillRect/>
                    </a:stretch>
                  </pic:blipFill>
                  <pic:spPr bwMode="auto">
                    <a:xfrm>
                      <a:off x="0" y="0"/>
                      <a:ext cx="8124825" cy="5231765"/>
                    </a:xfrm>
                    <a:prstGeom prst="rect">
                      <a:avLst/>
                    </a:prstGeom>
                  </pic:spPr>
                </pic:pic>
              </a:graphicData>
            </a:graphic>
          </wp:anchor>
        </w:drawing>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360"/>
        <w:rPr/>
      </w:pPr>
      <w:r>
        <w:rPr/>
        <w:drawing>
          <wp:anchor behindDoc="0" distT="0" distB="0" distL="114300" distR="114300" simplePos="0" locked="0" layoutInCell="0" allowOverlap="1" relativeHeight="267">
            <wp:simplePos x="0" y="0"/>
            <wp:positionH relativeFrom="column">
              <wp:posOffset>356235</wp:posOffset>
            </wp:positionH>
            <wp:positionV relativeFrom="paragraph">
              <wp:posOffset>635</wp:posOffset>
            </wp:positionV>
            <wp:extent cx="8112760" cy="5290820"/>
            <wp:effectExtent l="0" t="0" r="0" b="0"/>
            <wp:wrapSquare wrapText="bothSides"/>
            <wp:docPr id="18" name="Pictur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1" descr=""/>
                    <pic:cNvPicPr>
                      <a:picLocks noChangeAspect="1" noChangeArrowheads="1"/>
                    </pic:cNvPicPr>
                  </pic:nvPicPr>
                  <pic:blipFill>
                    <a:blip r:embed="rId32"/>
                    <a:stretch>
                      <a:fillRect/>
                    </a:stretch>
                  </pic:blipFill>
                  <pic:spPr bwMode="auto">
                    <a:xfrm>
                      <a:off x="0" y="0"/>
                      <a:ext cx="8112760" cy="5290820"/>
                    </a:xfrm>
                    <a:prstGeom prst="rect">
                      <a:avLst/>
                    </a:prstGeom>
                  </pic:spPr>
                </pic:pic>
              </a:graphicData>
            </a:graphic>
          </wp:anchor>
        </w:drawing>
      </w:r>
    </w:p>
    <w:p>
      <w:pPr>
        <w:pStyle w:val="Normal"/>
        <w:spacing w:lineRule="exact" w:line="360"/>
        <w:rPr/>
      </w:pPr>
      <w:r>
        <w:rPr/>
      </w:r>
    </w:p>
    <w:p>
      <w:pPr>
        <w:pStyle w:val="Normal"/>
        <w:spacing w:lineRule="exact" w:line="360"/>
        <w:rPr/>
      </w:pPr>
      <w:r>
        <w:rPr/>
      </w:r>
    </w:p>
    <w:p>
      <w:pPr>
        <w:pStyle w:val="Normal"/>
        <w:spacing w:lineRule="exact" w:line="360"/>
        <w:rPr/>
      </w:pPr>
      <w:r>
        <w:rPr/>
      </w:r>
    </w:p>
    <w:p>
      <w:pPr>
        <w:pStyle w:val="Normal"/>
        <w:spacing w:lineRule="exact" w:line="1" w:before="0" w:after="513"/>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pStyle w:val="Normal"/>
        <w:spacing w:lineRule="exact" w:line="1"/>
        <w:rPr/>
      </w:pPr>
      <w:r>
        <w:rPr/>
      </w:r>
    </w:p>
    <w:p>
      <w:pPr>
        <w:sectPr>
          <w:headerReference w:type="default" r:id="rId33"/>
          <w:headerReference w:type="first" r:id="rId34"/>
          <w:footerReference w:type="default" r:id="rId35"/>
          <w:footerReference w:type="first" r:id="rId36"/>
          <w:footnotePr>
            <w:numFmt w:val="decimal"/>
          </w:footnotePr>
          <w:type w:val="nextPage"/>
          <w:pgSz w:orient="landscape" w:w="16838" w:h="11906"/>
          <w:pgMar w:left="807" w:right="1522" w:gutter="0" w:header="203" w:top="631" w:footer="47" w:bottom="475"/>
          <w:pgNumType w:fmt="decimal"/>
          <w:formProt w:val="false"/>
          <w:textDirection w:val="lrTb"/>
          <w:docGrid w:type="default" w:linePitch="100" w:charSpace="0"/>
        </w:sectPr>
        <w:pStyle w:val="Normal"/>
        <w:spacing w:lineRule="exact" w:line="1"/>
        <w:rPr/>
      </w:pPr>
      <w:r>
        <w:rPr/>
      </w:r>
    </w:p>
    <w:p>
      <w:pPr>
        <w:pStyle w:val="14"/>
        <w:jc w:val="left"/>
        <w:rPr>
          <w:sz w:val="26"/>
        </w:rPr>
      </w:pPr>
      <w:r>
        <w:rPr>
          <w:sz w:val="26"/>
        </w:rPr>
        <w:drawing>
          <wp:inline distT="0" distB="0" distL="0" distR="0">
            <wp:extent cx="8013700" cy="5448300"/>
            <wp:effectExtent l="0" t="0" r="0" b="0"/>
            <wp:docPr id="20" name="Pictur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3" descr=""/>
                    <pic:cNvPicPr>
                      <a:picLocks noChangeAspect="1" noChangeArrowheads="1"/>
                    </pic:cNvPicPr>
                  </pic:nvPicPr>
                  <pic:blipFill>
                    <a:blip r:embed="rId37"/>
                    <a:stretch>
                      <a:fillRect/>
                    </a:stretch>
                  </pic:blipFill>
                  <pic:spPr bwMode="auto">
                    <a:xfrm>
                      <a:off x="0" y="0"/>
                      <a:ext cx="8013700" cy="5448300"/>
                    </a:xfrm>
                    <a:prstGeom prst="rect">
                      <a:avLst/>
                    </a:prstGeom>
                  </pic:spPr>
                </pic:pic>
              </a:graphicData>
            </a:graphic>
          </wp:inline>
        </w:drawing>
      </w:r>
    </w:p>
    <w:p>
      <w:pPr>
        <w:pStyle w:val="Normal"/>
        <w:spacing w:lineRule="exact" w:line="360"/>
        <w:rPr>
          <w:sz w:val="2"/>
        </w:rPr>
      </w:pPr>
      <w:r>
        <w:rPr/>
      </w:r>
    </w:p>
    <w:sectPr>
      <w:headerReference w:type="default" r:id="rId38"/>
      <w:headerReference w:type="first" r:id="rId39"/>
      <w:footerReference w:type="default" r:id="rId40"/>
      <w:footerReference w:type="first" r:id="rId41"/>
      <w:footnotePr>
        <w:numFmt w:val="decimal"/>
      </w:footnotePr>
      <w:type w:val="nextPage"/>
      <w:pgSz w:orient="landscape" w:w="16838" w:h="11906"/>
      <w:pgMar w:left="1239" w:right="1868" w:gutter="0" w:header="664" w:top="1092" w:footer="48" w:bottom="476"/>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Tempora LGC Uni">
    <w:charset w:val="01"/>
    <w:family w:val="roman"/>
    <w:pitch w:val="variable"/>
  </w:font>
  <w:font w:name="Arial Unicode MS">
    <w:charset w:val="01"/>
    <w:family w:val="roman"/>
    <w:pitch w:val="variable"/>
  </w:font>
  <w:font w:name="Arial">
    <w:charset w:val="01"/>
    <w:family w:val="roman"/>
    <w:pitch w:val="variable"/>
  </w:font>
  <w:font w:name="Times New Roman">
    <w:charset w:val="01"/>
    <w:family w:val="roman"/>
    <w:pitch w:val="variable"/>
  </w:font>
  <w:font w:name="Segoe UI">
    <w:charset w:val="01"/>
    <w:family w:val="roman"/>
    <w:pitch w:val="variable"/>
  </w:font>
  <w:font w:name="XO Thames">
    <w:charset w:val="01"/>
    <w:family w:val="roman"/>
    <w:pitch w:val="variable"/>
  </w:font>
  <w:font w:name="Open Sans">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exact" w:line="1"/>
      <w:rPr/>
    </w:pPr>
    <w:r>
      <w:rPr/>
      <mc:AlternateContent>
        <mc:Choice Requires="wps">
          <w:drawing>
            <wp:anchor behindDoc="1" distT="0" distB="0" distL="0" distR="0" simplePos="0" locked="0" layoutInCell="0" allowOverlap="1" relativeHeight="170">
              <wp:simplePos x="0" y="0"/>
              <wp:positionH relativeFrom="page">
                <wp:posOffset>7045960</wp:posOffset>
              </wp:positionH>
              <wp:positionV relativeFrom="page">
                <wp:posOffset>9917430</wp:posOffset>
              </wp:positionV>
              <wp:extent cx="152400" cy="246380"/>
              <wp:effectExtent l="0" t="0" r="0" b="0"/>
              <wp:wrapNone/>
              <wp:docPr id="5" name="Picture 2"/>
              <a:graphic xmlns:a="http://schemas.openxmlformats.org/drawingml/2006/main">
                <a:graphicData uri="http://schemas.microsoft.com/office/word/2010/wordprocessingShape">
                  <wps:wsp>
                    <wps:cNvSpPr/>
                    <wps:spPr>
                      <a:xfrm>
                        <a:off x="0" y="0"/>
                        <a:ext cx="152280" cy="246240"/>
                      </a:xfrm>
                      <a:prstGeom prst="rect">
                        <a:avLst/>
                      </a:prstGeom>
                      <a:noFill/>
                      <a:ln w="0">
                        <a:noFill/>
                      </a:ln>
                    </wps:spPr>
                    <wps:style>
                      <a:lnRef idx="0"/>
                      <a:fillRef idx="0"/>
                      <a:effectRef idx="0"/>
                      <a:fontRef idx="minor"/>
                    </wps:style>
                    <wps:txbx>
                      <w:txbxContent>
                        <w:p>
                          <w:pPr>
                            <w:pStyle w:val="213"/>
                            <w:rPr>
                              <w:spacing w:val="0"/>
                              <w:sz w:val="24"/>
                            </w:rPr>
                          </w:pPr>
                          <w:r>
                            <w:rPr>
                              <w:spacing w:val="0"/>
                              <w:sz w:val="24"/>
                            </w:rPr>
                          </w:r>
                        </w:p>
                      </w:txbxContent>
                    </wps:txbx>
                    <wps:bodyPr lIns="36360" rIns="36360" tIns="36360" bIns="36360" anchor="t">
                      <a:spAutoFit/>
                    </wps:bodyPr>
                  </wps:wsp>
                </a:graphicData>
              </a:graphic>
            </wp:anchor>
          </w:drawing>
        </mc:Choice>
        <mc:Fallback>
          <w:pict>
            <v:rect id="shape_0" ID="Picture 2" path="m0,0l-2147483645,0l-2147483645,-2147483646l0,-2147483646xe" stroked="f" o:allowincell="f" style="position:absolute;margin-left:554.8pt;margin-top:780.9pt;width:11.95pt;height:19.35pt;mso-wrap-style:none;v-text-anchor:middle;mso-position-horizontal-relative:page;mso-position-vertical-relative:page">
              <v:fill o:detectmouseclick="t" on="false"/>
              <v:stroke color="#3465a4" joinstyle="round" endcap="flat"/>
              <v:textbox>
                <w:txbxContent>
                  <w:p>
                    <w:pPr>
                      <w:pStyle w:val="213"/>
                      <w:rPr>
                        <w:spacing w:val="0"/>
                        <w:sz w:val="24"/>
                      </w:rPr>
                    </w:pPr>
                    <w:r>
                      <w:rPr>
                        <w:spacing w:val="0"/>
                        <w:sz w:val="24"/>
                      </w:rPr>
                    </w:r>
                  </w:p>
                </w:txbxContent>
              </v:textbox>
              <w10:wrap type="none"/>
            </v:rect>
          </w:pict>
        </mc:Fallback>
      </mc:AlternateContent>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Normal"/>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Normal"/>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Normal"/>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exact" w:line="1"/>
      <w:rPr/>
    </w:pPr>
    <w:r>
      <w:rPr/>
      <mc:AlternateContent>
        <mc:Choice Requires="wps">
          <w:drawing>
            <wp:anchor behindDoc="1" distT="0" distB="0" distL="0" distR="0" simplePos="0" locked="0" layoutInCell="0" allowOverlap="1" relativeHeight="63">
              <wp:simplePos x="0" y="0"/>
              <wp:positionH relativeFrom="page">
                <wp:posOffset>7045960</wp:posOffset>
              </wp:positionH>
              <wp:positionV relativeFrom="page">
                <wp:posOffset>9917430</wp:posOffset>
              </wp:positionV>
              <wp:extent cx="152400" cy="246380"/>
              <wp:effectExtent l="0" t="0" r="0" b="0"/>
              <wp:wrapNone/>
              <wp:docPr id="7" name="Picture 3"/>
              <a:graphic xmlns:a="http://schemas.openxmlformats.org/drawingml/2006/main">
                <a:graphicData uri="http://schemas.microsoft.com/office/word/2010/wordprocessingShape">
                  <wps:wsp>
                    <wps:cNvSpPr/>
                    <wps:spPr>
                      <a:xfrm>
                        <a:off x="0" y="0"/>
                        <a:ext cx="152280" cy="246240"/>
                      </a:xfrm>
                      <a:prstGeom prst="rect">
                        <a:avLst/>
                      </a:prstGeom>
                      <a:noFill/>
                      <a:ln w="0">
                        <a:noFill/>
                      </a:ln>
                    </wps:spPr>
                    <wps:style>
                      <a:lnRef idx="0"/>
                      <a:fillRef idx="0"/>
                      <a:effectRef idx="0"/>
                      <a:fontRef idx="minor"/>
                    </wps:style>
                    <wps:txbx>
                      <w:txbxContent>
                        <w:p>
                          <w:pPr>
                            <w:pStyle w:val="213"/>
                            <w:rPr>
                              <w:spacing w:val="0"/>
                              <w:sz w:val="24"/>
                            </w:rPr>
                          </w:pPr>
                          <w:r>
                            <w:rPr>
                              <w:spacing w:val="0"/>
                              <w:sz w:val="24"/>
                            </w:rPr>
                          </w:r>
                        </w:p>
                      </w:txbxContent>
                    </wps:txbx>
                    <wps:bodyPr lIns="36360" rIns="36360" tIns="36360" bIns="36360" anchor="t">
                      <a:spAutoFit/>
                    </wps:bodyPr>
                  </wps:wsp>
                </a:graphicData>
              </a:graphic>
            </wp:anchor>
          </w:drawing>
        </mc:Choice>
        <mc:Fallback>
          <w:pict>
            <v:rect id="shape_0" ID="Picture 3" path="m0,0l-2147483645,0l-2147483645,-2147483646l0,-2147483646xe" stroked="f" o:allowincell="f" style="position:absolute;margin-left:554.8pt;margin-top:780.9pt;width:11.95pt;height:19.35pt;mso-wrap-style:none;v-text-anchor:middle;mso-position-horizontal-relative:page;mso-position-vertical-relative:page">
              <v:fill o:detectmouseclick="t" on="false"/>
              <v:stroke color="#3465a4" joinstyle="round" endcap="flat"/>
              <v:textbox>
                <w:txbxContent>
                  <w:p>
                    <w:pPr>
                      <w:pStyle w:val="213"/>
                      <w:rPr>
                        <w:spacing w:val="0"/>
                        <w:sz w:val="24"/>
                      </w:rPr>
                    </w:pPr>
                    <w:r>
                      <w:rPr>
                        <w:spacing w:val="0"/>
                        <w:sz w:val="24"/>
                      </w:rPr>
                    </w:r>
                  </w:p>
                </w:txbxContent>
              </v:textbox>
              <w10:wrap type="none"/>
            </v:rect>
          </w:pict>
        </mc:Fallback>
      </mc:AlternateConten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exact" w:line="1"/>
      <w:rPr/>
    </w:pPr>
    <w:r>
      <w:rPr/>
      <mc:AlternateContent>
        <mc:Choice Requires="wps">
          <w:drawing>
            <wp:anchor behindDoc="1" distT="0" distB="0" distL="0" distR="0" simplePos="0" locked="0" layoutInCell="0" allowOverlap="1" relativeHeight="57">
              <wp:simplePos x="0" y="0"/>
              <wp:positionH relativeFrom="page">
                <wp:posOffset>7045960</wp:posOffset>
              </wp:positionH>
              <wp:positionV relativeFrom="page">
                <wp:posOffset>9917430</wp:posOffset>
              </wp:positionV>
              <wp:extent cx="152400" cy="246380"/>
              <wp:effectExtent l="0" t="0" r="0" b="0"/>
              <wp:wrapNone/>
              <wp:docPr id="9" name="Picture 4"/>
              <a:graphic xmlns:a="http://schemas.openxmlformats.org/drawingml/2006/main">
                <a:graphicData uri="http://schemas.microsoft.com/office/word/2010/wordprocessingShape">
                  <wps:wsp>
                    <wps:cNvSpPr/>
                    <wps:spPr>
                      <a:xfrm>
                        <a:off x="0" y="0"/>
                        <a:ext cx="152280" cy="246240"/>
                      </a:xfrm>
                      <a:prstGeom prst="rect">
                        <a:avLst/>
                      </a:prstGeom>
                      <a:noFill/>
                      <a:ln w="0">
                        <a:noFill/>
                      </a:ln>
                    </wps:spPr>
                    <wps:style>
                      <a:lnRef idx="0"/>
                      <a:fillRef idx="0"/>
                      <a:effectRef idx="0"/>
                      <a:fontRef idx="minor"/>
                    </wps:style>
                    <wps:txbx>
                      <w:txbxContent>
                        <w:p>
                          <w:pPr>
                            <w:pStyle w:val="213"/>
                            <w:rPr>
                              <w:spacing w:val="0"/>
                              <w:sz w:val="24"/>
                            </w:rPr>
                          </w:pPr>
                          <w:r>
                            <w:rPr>
                              <w:spacing w:val="0"/>
                              <w:sz w:val="24"/>
                            </w:rPr>
                          </w:r>
                        </w:p>
                      </w:txbxContent>
                    </wps:txbx>
                    <wps:bodyPr lIns="36360" rIns="36360" tIns="36360" bIns="36360" anchor="t">
                      <a:spAutoFit/>
                    </wps:bodyPr>
                  </wps:wsp>
                </a:graphicData>
              </a:graphic>
            </wp:anchor>
          </w:drawing>
        </mc:Choice>
        <mc:Fallback>
          <w:pict>
            <v:rect id="shape_0" ID="Picture 4" path="m0,0l-2147483645,0l-2147483645,-2147483646l0,-2147483646xe" stroked="f" o:allowincell="f" style="position:absolute;margin-left:554.8pt;margin-top:780.9pt;width:11.95pt;height:19.35pt;mso-wrap-style:none;v-text-anchor:middle;mso-position-horizontal-relative:page;mso-position-vertical-relative:page">
              <v:fill o:detectmouseclick="t" on="false"/>
              <v:stroke color="#3465a4" joinstyle="round" endcap="flat"/>
              <v:textbox>
                <w:txbxContent>
                  <w:p>
                    <w:pPr>
                      <w:pStyle w:val="213"/>
                      <w:rPr>
                        <w:spacing w:val="0"/>
                        <w:sz w:val="24"/>
                      </w:rPr>
                    </w:pPr>
                    <w:r>
                      <w:rPr>
                        <w:spacing w:val="0"/>
                        <w:sz w:val="24"/>
                      </w:rPr>
                    </w:r>
                  </w:p>
                </w:txbxContent>
              </v:textbox>
              <w10:wrap type="none"/>
            </v:rect>
          </w:pict>
        </mc:Fallback>
      </mc:AlternateContent>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lineRule="exact" w:line="1"/>
      <w:rPr/>
    </w:pPr>
    <w:r>
      <w:rPr/>
      <mc:AlternateContent>
        <mc:Choice Requires="wps">
          <w:drawing>
            <wp:anchor behindDoc="1" distT="0" distB="0" distL="0" distR="0" simplePos="0" locked="0" layoutInCell="0" allowOverlap="1" relativeHeight="45">
              <wp:simplePos x="0" y="0"/>
              <wp:positionH relativeFrom="page">
                <wp:posOffset>7045960</wp:posOffset>
              </wp:positionH>
              <wp:positionV relativeFrom="page">
                <wp:posOffset>9917430</wp:posOffset>
              </wp:positionV>
              <wp:extent cx="152400" cy="246380"/>
              <wp:effectExtent l="0" t="0" r="0" b="0"/>
              <wp:wrapNone/>
              <wp:docPr id="11" name="Picture 5"/>
              <a:graphic xmlns:a="http://schemas.openxmlformats.org/drawingml/2006/main">
                <a:graphicData uri="http://schemas.microsoft.com/office/word/2010/wordprocessingShape">
                  <wps:wsp>
                    <wps:cNvSpPr/>
                    <wps:spPr>
                      <a:xfrm>
                        <a:off x="0" y="0"/>
                        <a:ext cx="152280" cy="246240"/>
                      </a:xfrm>
                      <a:prstGeom prst="rect">
                        <a:avLst/>
                      </a:prstGeom>
                      <a:noFill/>
                      <a:ln w="0">
                        <a:noFill/>
                      </a:ln>
                    </wps:spPr>
                    <wps:style>
                      <a:lnRef idx="0"/>
                      <a:fillRef idx="0"/>
                      <a:effectRef idx="0"/>
                      <a:fontRef idx="minor"/>
                    </wps:style>
                    <wps:txbx>
                      <w:txbxContent>
                        <w:p>
                          <w:pPr>
                            <w:pStyle w:val="213"/>
                            <w:rPr>
                              <w:spacing w:val="0"/>
                              <w:sz w:val="24"/>
                            </w:rPr>
                          </w:pPr>
                          <w:r>
                            <w:rPr>
                              <w:spacing w:val="0"/>
                              <w:sz w:val="24"/>
                            </w:rPr>
                          </w:r>
                        </w:p>
                      </w:txbxContent>
                    </wps:txbx>
                    <wps:bodyPr lIns="36360" rIns="36360" tIns="36360" bIns="36360" anchor="t">
                      <a:spAutoFit/>
                    </wps:bodyPr>
                  </wps:wsp>
                </a:graphicData>
              </a:graphic>
            </wp:anchor>
          </w:drawing>
        </mc:Choice>
        <mc:Fallback>
          <w:pict>
            <v:rect id="shape_0" ID="Picture 5" path="m0,0l-2147483645,0l-2147483645,-2147483646l0,-2147483646xe" stroked="f" o:allowincell="f" style="position:absolute;margin-left:554.8pt;margin-top:780.9pt;width:11.95pt;height:19.35pt;mso-wrap-style:none;v-text-anchor:middle;mso-position-horizontal-relative:page;mso-position-vertical-relative:page">
              <v:fill o:detectmouseclick="t" on="false"/>
              <v:stroke color="#3465a4" joinstyle="round" endcap="flat"/>
              <v:textbox>
                <w:txbxContent>
                  <w:p>
                    <w:pPr>
                      <w:pStyle w:val="213"/>
                      <w:rPr>
                        <w:spacing w:val="0"/>
                        <w:sz w:val="24"/>
                      </w:rPr>
                    </w:pPr>
                    <w:r>
                      <w:rPr>
                        <w:spacing w:val="0"/>
                        <w:sz w:val="24"/>
                      </w:rPr>
                    </w:r>
                  </w:p>
                </w:txbxContent>
              </v:textbox>
              <w10:wrap type="none"/>
            </v:rect>
          </w:pict>
        </mc:Fallback>
      </mc:AlternateContent>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p>
    <w:pPr>
      <w:pStyle w:val="Normal"/>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Footnote1"/>
        <w:ind w:firstLine="284" w:left="0" w:right="0"/>
        <w:rPr/>
      </w:pPr>
      <w:r>
        <w:rPr>
          <w:rStyle w:val="Style7"/>
        </w:rPr>
        <w:footnoteRef/>
      </w:r>
      <w:r>
        <w:rPr/>
        <w:t xml:space="preserve"> </w:t>
      </w:r>
      <w:r>
        <w:rPr>
          <w:rFonts w:ascii="Times New Roman" w:hAnsi="Times New Roman"/>
        </w:rPr>
        <w:t>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 28 (зарегистрированы Министерством юстиции Российской Федерации 18 декабря 2020 г., регистрационный № 61573</w:t>
      </w:r>
    </w:p>
  </w:footnote>
  <w:footnote w:id="3">
    <w:p>
      <w:pPr>
        <w:pStyle w:val="FootnoteText"/>
        <w:jc w:val="both"/>
        <w:rPr/>
      </w:pPr>
      <w:r>
        <w:rPr>
          <w:rStyle w:val="Style7"/>
        </w:rPr>
        <w:footnoteRef/>
      </w:r>
      <w:r>
        <w:rPr>
          <w:sz w:val="13"/>
        </w:rPr>
        <w:t xml:space="preserve"> </w:t>
      </w:r>
      <w:r>
        <w:rPr/>
        <w:t>Участникам КЕГЭ разрешается использовать программу Microsoft Windows «Калькулятор», предназначенную для выполнения вычислительных операций, а также графический редактор Microsoft Paint.</w:t>
      </w:r>
    </w:p>
  </w:footnote>
  <w:footnote w:id="4">
    <w:p>
      <w:pPr>
        <w:pStyle w:val="Footnote1"/>
        <w:ind w:firstLine="284" w:left="0" w:right="0"/>
        <w:rPr/>
      </w:pPr>
      <w:r>
        <w:rPr>
          <w:rStyle w:val="Style7"/>
        </w:rPr>
        <w:footnoteRef/>
      </w:r>
      <w:r>
        <w:rPr/>
        <w:t xml:space="preserve"> </w:t>
      </w:r>
      <w:r>
        <w:rPr>
          <w:rFonts w:ascii="Times New Roman" w:hAnsi="Times New Roman"/>
        </w:rPr>
        <w:t>Экзамены начинаются в 10:00 по местному времени.</w:t>
      </w:r>
    </w:p>
  </w:footnote>
  <w:footnote w:id="5">
    <w:p>
      <w:pPr>
        <w:pStyle w:val="Footnote1"/>
        <w:ind w:firstLine="284" w:left="0" w:right="0"/>
        <w:rPr/>
      </w:pPr>
      <w:r>
        <w:rPr>
          <w:rStyle w:val="Style7"/>
        </w:rPr>
        <w:footnoteRef/>
      </w:r>
      <w:r>
        <w:rPr/>
        <w:t xml:space="preserve"> </w:t>
      </w:r>
      <w:r>
        <w:rPr>
          <w:rFonts w:ascii="Times New Roman" w:hAnsi="Times New Roman"/>
        </w:rPr>
        <w:t>Настоящая инструкция содержит в себе только особенности по подготовке и проведению КЕГЭ.</w:t>
      </w:r>
    </w:p>
  </w:footnote>
  <w:footnote w:id="6">
    <w:p>
      <w:pPr>
        <w:pStyle w:val="Footnote1"/>
        <w:ind w:firstLine="284" w:left="0" w:right="0"/>
        <w:rPr/>
      </w:pPr>
      <w:r>
        <w:rPr>
          <w:rStyle w:val="Style7"/>
        </w:rPr>
        <w:footnoteRef/>
      </w:r>
      <w:r>
        <w:rPr/>
        <w:t xml:space="preserve"> </w:t>
      </w:r>
      <w:r>
        <w:rPr>
          <w:rFonts w:ascii="Times New Roman" w:hAnsi="Times New Roman"/>
        </w:rPr>
        <w:t>Настоящая инструкция содержит в себе только особенности по подготовке и проведению КЕГЭ.</w:t>
      </w:r>
    </w:p>
  </w:footnote>
  <w:footnote w:id="7">
    <w:p>
      <w:pPr>
        <w:pStyle w:val="Normal"/>
        <w:spacing w:lineRule="exact" w:line="252"/>
        <w:ind w:firstLine="284" w:left="0" w:right="0"/>
        <w:rPr/>
      </w:pPr>
      <w:r>
        <w:rPr>
          <w:rStyle w:val="Style7"/>
        </w:rPr>
        <w:footnoteRef/>
      </w:r>
      <w:r>
        <w:rPr/>
        <w:t xml:space="preserve"> </w:t>
      </w:r>
      <w:r>
        <w:rPr>
          <w:rFonts w:ascii="Times New Roman" w:hAnsi="Times New Roman"/>
          <w:sz w:val="20"/>
        </w:rPr>
        <w:t>Информация о количестве таких участников экзаменов в ППЭ и о необходимости организации проведения экзаменов в условиях, учитывающих состояние их здоровья, особенности психофизического развития, направляется Министерством в ППЭ не позднее двух рабочих дней до дня проведения экзамена.</w:t>
      </w:r>
    </w:p>
  </w:footnote>
  <w:footnote w:id="8">
    <w:p>
      <w:pPr>
        <w:pStyle w:val="FootnoteText"/>
        <w:jc w:val="both"/>
        <w:rPr/>
      </w:pPr>
      <w:r>
        <w:rPr>
          <w:rStyle w:val="Style7"/>
        </w:rPr>
        <w:footnoteRef/>
      </w:r>
      <w:r>
        <w:rPr>
          <w:sz w:val="13"/>
        </w:rPr>
        <w:t xml:space="preserve"> </w:t>
      </w:r>
      <w:r>
        <w:rPr/>
        <w:t>В случае если участник экзамена явился в ППЭ, но был удалён или не завершил экзамен по уважительной причине до начала печати бланков регистрации, бланк регистрации на него всё равно распечатывается для надлежащего оформления факта удаления или не завершения экзамена.</w:t>
      </w:r>
    </w:p>
  </w:footnote>
  <w:footnote w:id="9">
    <w:p>
      <w:pPr>
        <w:pStyle w:val="Footnote1"/>
        <w:ind w:firstLine="284" w:left="0" w:right="0"/>
        <w:rPr/>
      </w:pPr>
      <w:r>
        <w:rPr>
          <w:rStyle w:val="Style7"/>
        </w:rPr>
        <w:footnoteRef/>
      </w:r>
      <w:r>
        <w:rPr/>
        <w:t xml:space="preserve"> </w:t>
      </w:r>
      <w:r>
        <w:rPr>
          <w:rFonts w:ascii="Times New Roman" w:hAnsi="Times New Roman"/>
        </w:rPr>
        <w:t>Участникам экзамена – глухим, слабослышащим, позднооглохшим и кохлеарно имплантированным, участникам экзамена с расстройствами аутистического спектра необходимо раздать в напечатанном виде, предварительно заполнив отдельные пропуски по тексту указанной инструкции (например, плановая дата ознакомления с результатами и др.)</w:t>
      </w:r>
    </w:p>
  </w:footnote>
  <w:footnote w:id="10">
    <w:p>
      <w:pPr>
        <w:pStyle w:val="Footnote1"/>
        <w:ind w:firstLine="284" w:left="0" w:right="0"/>
        <w:rPr/>
      </w:pPr>
      <w:r>
        <w:rPr>
          <w:rStyle w:val="Style7"/>
        </w:rPr>
        <w:footnoteRef/>
      </w:r>
      <w:r>
        <w:rPr/>
        <w:t xml:space="preserve"> </w:t>
      </w:r>
      <w:r>
        <w:rPr>
          <w:rFonts w:ascii="Times New Roman" w:hAnsi="Times New Roman"/>
        </w:rPr>
        <w:t>Настоящая инструкция содержит в себе только особенности по подготовке и проведению КЕГЭ.</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65">
              <wp:simplePos x="0" y="0"/>
              <wp:positionH relativeFrom="margin">
                <wp:align>center</wp:align>
              </wp:positionH>
              <wp:positionV relativeFrom="paragraph">
                <wp:posOffset>635</wp:posOffset>
              </wp:positionV>
              <wp:extent cx="476250" cy="204470"/>
              <wp:effectExtent l="0" t="0" r="0" b="0"/>
              <wp:wrapSquare wrapText="bothSides"/>
              <wp:docPr id="4" name="Врезка1"/>
              <a:graphic xmlns:a="http://schemas.openxmlformats.org/drawingml/2006/main">
                <a:graphicData uri="http://schemas.microsoft.com/office/word/2010/wordprocessingShape">
                  <wps:wsp>
                    <wps:cNvSpPr txBox="1"/>
                    <wps:spPr>
                      <a:xfrm>
                        <a:off x="0" y="0"/>
                        <a:ext cx="476250" cy="204470"/>
                      </a:xfrm>
                      <a:prstGeom prst="rect"/>
                      <a:solidFill>
                        <a:srgbClr val="FFFFFF">
                          <a:alpha val="0"/>
                        </a:srgbClr>
                      </a:solidFill>
                    </wps:spPr>
                    <wps:txbx>
                      <w:txbxContent>
                        <w:p>
                          <w:pPr>
                            <w:pStyle w:val="Normal"/>
                            <w:pBdr/>
                            <w:rPr>
                              <w:rFonts w:ascii="Times New Roman" w:hAnsi="Times New Roman"/>
                              <w:sz w:val="28"/>
                              <w:szCs w:val="28"/>
                            </w:rPr>
                          </w:pPr>
                          <w:r>
                            <w:rPr>
                              <w:rFonts w:ascii="Times New Roman" w:hAnsi="Times New Roman"/>
                              <w:sz w:val="28"/>
                              <w:szCs w:val="28"/>
                            </w:rPr>
                            <w:t>344</w:t>
                          </w:r>
                        </w:p>
                      </w:txbxContent>
                    </wps:txbx>
                    <wps:bodyPr anchor="t" lIns="0" tIns="0" rIns="0" bIns="0">
                      <a:spAutoFit/>
                    </wps:bodyPr>
                  </wps:wsp>
                </a:graphicData>
              </a:graphic>
            </wp:anchor>
          </w:drawing>
        </mc:Choice>
        <mc:Fallback>
          <w:pict>
            <v:rect fillcolor="#FFFFFF" style="position:absolute;rotation:-0;width:37.5pt;height:16.1pt;mso-wrap-distance-left:0pt;mso-wrap-distance-right:0pt;mso-wrap-distance-top:0pt;mso-wrap-distance-bottom:0pt;margin-top:0.05pt;mso-position-vertical-relative:text;margin-left:249.85pt;mso-position-horizontal:center;mso-position-horizontal-relative:margin">
              <v:fill opacity="0f"/>
              <v:textbox inset="0in,0in,0in,0in">
                <w:txbxContent>
                  <w:p>
                    <w:pPr>
                      <w:pStyle w:val="Normal"/>
                      <w:pBdr/>
                      <w:rPr>
                        <w:rFonts w:ascii="Times New Roman" w:hAnsi="Times New Roman"/>
                        <w:sz w:val="28"/>
                        <w:szCs w:val="28"/>
                      </w:rPr>
                    </w:pPr>
                    <w:r>
                      <w:rPr>
                        <w:rFonts w:ascii="Times New Roman" w:hAnsi="Times New Roman"/>
                        <w:sz w:val="28"/>
                        <w:szCs w:val="28"/>
                      </w:rPr>
                      <w:t>344</w:t>
                    </w:r>
                  </w:p>
                </w:txbxContent>
              </v:textbox>
              <w10:wrap type="square"/>
            </v:rect>
          </w:pict>
        </mc:Fallback>
      </mc:AlternateContent>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64">
              <wp:simplePos x="0" y="0"/>
              <wp:positionH relativeFrom="margin">
                <wp:align>center</wp:align>
              </wp:positionH>
              <wp:positionV relativeFrom="paragraph">
                <wp:posOffset>-167640</wp:posOffset>
              </wp:positionV>
              <wp:extent cx="489585" cy="204470"/>
              <wp:effectExtent l="0" t="0" r="0" b="0"/>
              <wp:wrapSquare wrapText="bothSides"/>
              <wp:docPr id="16" name="Врезка10"/>
              <a:graphic xmlns:a="http://schemas.openxmlformats.org/drawingml/2006/main">
                <a:graphicData uri="http://schemas.microsoft.com/office/word/2010/wordprocessingShape">
                  <wps:wsp>
                    <wps:cNvSpPr txBox="1"/>
                    <wps:spPr>
                      <a:xfrm>
                        <a:off x="0" y="0"/>
                        <a:ext cx="489585" cy="204470"/>
                      </a:xfrm>
                      <a:prstGeom prst="rect"/>
                      <a:solidFill>
                        <a:srgbClr val="FFFFFF">
                          <a:alpha val="0"/>
                        </a:srgbClr>
                      </a:solidFill>
                    </wps:spPr>
                    <wps:txbx>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431</w:t>
                          </w:r>
                          <w:r>
                            <w:rPr>
                              <w:sz w:val="28"/>
                              <w:szCs w:val="28"/>
                              <w:rFonts w:ascii="Times New Roman" w:hAnsi="Times New Roman"/>
                            </w:rPr>
                            <w:fldChar w:fldCharType="end"/>
                          </w:r>
                        </w:p>
                      </w:txbxContent>
                    </wps:txbx>
                    <wps:bodyPr anchor="t" lIns="0" tIns="0" rIns="0" bIns="0">
                      <a:spAutoFit/>
                    </wps:bodyPr>
                  </wps:wsp>
                </a:graphicData>
              </a:graphic>
            </wp:anchor>
          </w:drawing>
        </mc:Choice>
        <mc:Fallback>
          <w:pict>
            <v:rect fillcolor="#FFFFFF" style="position:absolute;rotation:-0;width:38.55pt;height:16.1pt;mso-wrap-distance-left:0pt;mso-wrap-distance-right:0pt;mso-wrap-distance-top:0pt;mso-wrap-distance-bottom:0pt;margin-top:-13.2pt;mso-position-vertical-relative:text;margin-left:311.75pt;mso-position-horizontal:center;mso-position-horizontal-relative:margin">
              <v:fill opacity="0f"/>
              <v:textbox inset="0in,0in,0in,0in">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431</w:t>
                    </w:r>
                    <w:r>
                      <w:rPr>
                        <w:sz w:val="28"/>
                        <w:szCs w:val="28"/>
                        <w:rFonts w:ascii="Times New Roman" w:hAnsi="Times New Roman"/>
                      </w:rPr>
                      <w:fldChar w:fldCharType="end"/>
                    </w:r>
                  </w:p>
                </w:txbxContent>
              </v:textbox>
              <w10:wrap type="square"/>
            </v:rect>
          </w:pict>
        </mc:Fallback>
      </mc:AlternateContent>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62">
              <wp:simplePos x="0" y="0"/>
              <wp:positionH relativeFrom="margin">
                <wp:align>center</wp:align>
              </wp:positionH>
              <wp:positionV relativeFrom="paragraph">
                <wp:posOffset>635</wp:posOffset>
              </wp:positionV>
              <wp:extent cx="419100" cy="204470"/>
              <wp:effectExtent l="0" t="0" r="0" b="0"/>
              <wp:wrapSquare wrapText="bothSides"/>
              <wp:docPr id="19" name="Врезка11"/>
              <a:graphic xmlns:a="http://schemas.openxmlformats.org/drawingml/2006/main">
                <a:graphicData uri="http://schemas.microsoft.com/office/word/2010/wordprocessingShape">
                  <wps:wsp>
                    <wps:cNvSpPr txBox="1"/>
                    <wps:spPr>
                      <a:xfrm>
                        <a:off x="0" y="0"/>
                        <a:ext cx="419100" cy="204470"/>
                      </a:xfrm>
                      <a:prstGeom prst="rect"/>
                      <a:solidFill>
                        <a:srgbClr val="FFFFFF">
                          <a:alpha val="0"/>
                        </a:srgbClr>
                      </a:solidFill>
                    </wps:spPr>
                    <wps:txbx>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433</w:t>
                          </w:r>
                          <w:r>
                            <w:rPr>
                              <w:sz w:val="28"/>
                              <w:szCs w:val="28"/>
                              <w:rFonts w:ascii="Times New Roman" w:hAnsi="Times New Roman"/>
                            </w:rPr>
                            <w:fldChar w:fldCharType="end"/>
                          </w:r>
                        </w:p>
                      </w:txbxContent>
                    </wps:txbx>
                    <wps:bodyPr anchor="t" lIns="0" tIns="0" rIns="0" bIns="0">
                      <a:spAutoFit/>
                    </wps:bodyPr>
                  </wps:wsp>
                </a:graphicData>
              </a:graphic>
            </wp:anchor>
          </w:drawing>
        </mc:Choice>
        <mc:Fallback>
          <w:pict>
            <v:rect fillcolor="#FFFFFF" style="position:absolute;rotation:-0;width:33pt;height:16.1pt;mso-wrap-distance-left:0pt;mso-wrap-distance-right:0pt;mso-wrap-distance-top:0pt;mso-wrap-distance-bottom:0pt;margin-top:0.05pt;mso-position-vertical-relative:text;margin-left:346.2pt;mso-position-horizontal:center;mso-position-horizontal-relative:margin">
              <v:fill opacity="0f"/>
              <v:textbox inset="0in,0in,0in,0in">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433</w:t>
                    </w:r>
                    <w:r>
                      <w:rPr>
                        <w:sz w:val="28"/>
                        <w:szCs w:val="28"/>
                        <w:rFonts w:ascii="Times New Roman" w:hAnsi="Times New Roman"/>
                      </w:rPr>
                      <w:fldChar w:fldCharType="end"/>
                    </w:r>
                  </w:p>
                </w:txbxContent>
              </v:textbox>
              <w10:wrap type="square"/>
            </v:rect>
          </w:pict>
        </mc:Fallback>
      </mc:AlternateContent>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63">
              <wp:simplePos x="0" y="0"/>
              <wp:positionH relativeFrom="margin">
                <wp:align>center</wp:align>
              </wp:positionH>
              <wp:positionV relativeFrom="paragraph">
                <wp:posOffset>-130810</wp:posOffset>
              </wp:positionV>
              <wp:extent cx="421005" cy="204470"/>
              <wp:effectExtent l="0" t="0" r="0" b="0"/>
              <wp:wrapSquare wrapText="bothSides"/>
              <wp:docPr id="21" name="Врезка12"/>
              <a:graphic xmlns:a="http://schemas.openxmlformats.org/drawingml/2006/main">
                <a:graphicData uri="http://schemas.microsoft.com/office/word/2010/wordprocessingShape">
                  <wps:wsp>
                    <wps:cNvSpPr txBox="1"/>
                    <wps:spPr>
                      <a:xfrm>
                        <a:off x="0" y="0"/>
                        <a:ext cx="421005" cy="204470"/>
                      </a:xfrm>
                      <a:prstGeom prst="rect"/>
                      <a:solidFill>
                        <a:srgbClr val="FFFFFF">
                          <a:alpha val="0"/>
                        </a:srgbClr>
                      </a:solidFill>
                    </wps:spPr>
                    <wps:txbx>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434</w:t>
                          </w:r>
                          <w:r>
                            <w:rPr>
                              <w:sz w:val="28"/>
                              <w:szCs w:val="28"/>
                              <w:rFonts w:ascii="Times New Roman" w:hAnsi="Times New Roman"/>
                            </w:rPr>
                            <w:fldChar w:fldCharType="end"/>
                          </w:r>
                        </w:p>
                      </w:txbxContent>
                    </wps:txbx>
                    <wps:bodyPr anchor="t" lIns="0" tIns="0" rIns="0" bIns="0">
                      <a:spAutoFit/>
                    </wps:bodyPr>
                  </wps:wsp>
                </a:graphicData>
              </a:graphic>
            </wp:anchor>
          </w:drawing>
        </mc:Choice>
        <mc:Fallback>
          <w:pict>
            <v:rect fillcolor="#FFFFFF" style="position:absolute;rotation:-0;width:33.15pt;height:16.1pt;mso-wrap-distance-left:0pt;mso-wrap-distance-right:0pt;mso-wrap-distance-top:0pt;mso-wrap-distance-bottom:0pt;margin-top:-10.3pt;mso-position-vertical-relative:text;margin-left:326.7pt;mso-position-horizontal:center;mso-position-horizontal-relative:margin">
              <v:fill opacity="0f"/>
              <v:textbox inset="0in,0in,0in,0in">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434</w:t>
                    </w:r>
                    <w:r>
                      <w:rPr>
                        <w:sz w:val="28"/>
                        <w:szCs w:val="28"/>
                        <w:rFonts w:ascii="Times New Roman" w:hAnsi="Times New Roman"/>
                      </w:rPr>
                      <w:fldChar w:fldCharType="end"/>
                    </w:r>
                  </w:p>
                </w:txbxContent>
              </v:textbox>
              <w10:wrap type="square"/>
            </v:rect>
          </w:pict>
        </mc:Fallback>
      </mc:AlternateContent>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27">
              <wp:simplePos x="0" y="0"/>
              <wp:positionH relativeFrom="margin">
                <wp:align>center</wp:align>
              </wp:positionH>
              <wp:positionV relativeFrom="paragraph">
                <wp:posOffset>635</wp:posOffset>
              </wp:positionV>
              <wp:extent cx="209550" cy="163195"/>
              <wp:effectExtent l="0" t="0" r="0" b="0"/>
              <wp:wrapSquare wrapText="bothSides"/>
              <wp:docPr id="6" name="Врезка3"/>
              <a:graphic xmlns:a="http://schemas.openxmlformats.org/drawingml/2006/main">
                <a:graphicData uri="http://schemas.microsoft.com/office/word/2010/wordprocessingShape">
                  <wps:wsp>
                    <wps:cNvSpPr txBox="1"/>
                    <wps:spPr>
                      <a:xfrm>
                        <a:off x="0" y="0"/>
                        <a:ext cx="209550" cy="163195"/>
                      </a:xfrm>
                      <a:prstGeom prst="rect"/>
                      <a:solidFill>
                        <a:srgbClr val="FFFFFF">
                          <a:alpha val="0"/>
                        </a:srgbClr>
                      </a:solidFill>
                    </wps:spPr>
                    <wps:txbx>
                      <w:txbxContent>
                        <w:p>
                          <w:pPr>
                            <w:pStyle w:val="Normal"/>
                            <w:pBdr/>
                            <w:rPr/>
                          </w:pPr>
                          <w:r>
                            <w:rPr/>
                            <w:fldChar w:fldCharType="begin"/>
                          </w:r>
                          <w:r>
                            <w:rPr/>
                            <w:instrText xml:space="preserve"> PAGE \* ARABIC </w:instrText>
                          </w:r>
                          <w:r>
                            <w:rPr/>
                            <w:fldChar w:fldCharType="separate"/>
                          </w:r>
                          <w:r>
                            <w:rPr/>
                            <w:t>396</w:t>
                          </w:r>
                          <w:r>
                            <w:rPr/>
                            <w:fldChar w:fldCharType="end"/>
                          </w:r>
                        </w:p>
                      </w:txbxContent>
                    </wps:txbx>
                    <wps:bodyPr anchor="t" lIns="0" tIns="0" rIns="0" bIns="0">
                      <a:spAutoFit/>
                    </wps:bodyPr>
                  </wps:wsp>
                </a:graphicData>
              </a:graphic>
            </wp:anchor>
          </w:drawing>
        </mc:Choice>
        <mc:Fallback>
          <w:pict>
            <v:rect fillcolor="#FFFFFF" style="position:absolute;rotation:-0;width:16.5pt;height:12.85pt;mso-wrap-distance-left:0pt;mso-wrap-distance-right:0pt;mso-wrap-distance-top:0pt;mso-wrap-distance-bottom:0pt;margin-top:0.05pt;mso-position-vertical-relative:text;margin-left:251.3pt;mso-position-horizontal:center;mso-position-horizontal-relative:margin">
              <v:fill opacity="0f"/>
              <v:textbox inset="0in,0in,0in,0in">
                <w:txbxContent>
                  <w:p>
                    <w:pPr>
                      <w:pStyle w:val="Normal"/>
                      <w:pBdr/>
                      <w:rPr/>
                    </w:pPr>
                    <w:r>
                      <w:rPr/>
                      <w:fldChar w:fldCharType="begin"/>
                    </w:r>
                    <w:r>
                      <w:rPr/>
                      <w:instrText xml:space="preserve"> PAGE \* ARABIC </w:instrText>
                    </w:r>
                    <w:r>
                      <w:rPr/>
                      <w:fldChar w:fldCharType="separate"/>
                    </w:r>
                    <w:r>
                      <w:rPr/>
                      <w:t>396</w:t>
                    </w:r>
                    <w:r>
                      <w:rPr/>
                      <w:fldChar w:fldCharType="end"/>
                    </w:r>
                  </w:p>
                </w:txbxContent>
              </v:textbox>
              <w10:wrap type="square"/>
            </v:rect>
          </w:pict>
        </mc:Fallback>
      </mc:AlternateConten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33">
              <wp:simplePos x="0" y="0"/>
              <wp:positionH relativeFrom="margin">
                <wp:align>center</wp:align>
              </wp:positionH>
              <wp:positionV relativeFrom="paragraph">
                <wp:posOffset>635</wp:posOffset>
              </wp:positionV>
              <wp:extent cx="209550" cy="163195"/>
              <wp:effectExtent l="0" t="0" r="0" b="0"/>
              <wp:wrapSquare wrapText="bothSides"/>
              <wp:docPr id="8" name="Врезка5"/>
              <a:graphic xmlns:a="http://schemas.openxmlformats.org/drawingml/2006/main">
                <a:graphicData uri="http://schemas.microsoft.com/office/word/2010/wordprocessingShape">
                  <wps:wsp>
                    <wps:cNvSpPr txBox="1"/>
                    <wps:spPr>
                      <a:xfrm>
                        <a:off x="0" y="0"/>
                        <a:ext cx="209550" cy="163195"/>
                      </a:xfrm>
                      <a:prstGeom prst="rect"/>
                      <a:solidFill>
                        <a:srgbClr val="FFFFFF">
                          <a:alpha val="0"/>
                        </a:srgbClr>
                      </a:solidFill>
                    </wps:spPr>
                    <wps:txbx>
                      <w:txbxContent>
                        <w:p>
                          <w:pPr>
                            <w:pStyle w:val="Normal"/>
                            <w:pBdr/>
                            <w:rPr/>
                          </w:pPr>
                          <w:r>
                            <w:rPr/>
                            <w:fldChar w:fldCharType="begin"/>
                          </w:r>
                          <w:r>
                            <w:rPr/>
                            <w:instrText xml:space="preserve"> PAGE \* ARABIC </w:instrText>
                          </w:r>
                          <w:r>
                            <w:rPr/>
                            <w:fldChar w:fldCharType="separate"/>
                          </w:r>
                          <w:r>
                            <w:rPr/>
                            <w:t>399</w:t>
                          </w:r>
                          <w:r>
                            <w:rPr/>
                            <w:fldChar w:fldCharType="end"/>
                          </w:r>
                        </w:p>
                      </w:txbxContent>
                    </wps:txbx>
                    <wps:bodyPr anchor="t" lIns="0" tIns="0" rIns="0" bIns="0">
                      <a:spAutoFit/>
                    </wps:bodyPr>
                  </wps:wsp>
                </a:graphicData>
              </a:graphic>
            </wp:anchor>
          </w:drawing>
        </mc:Choice>
        <mc:Fallback>
          <w:pict>
            <v:rect fillcolor="#FFFFFF" style="position:absolute;rotation:-0;width:16.5pt;height:12.85pt;mso-wrap-distance-left:0pt;mso-wrap-distance-right:0pt;mso-wrap-distance-top:0pt;mso-wrap-distance-bottom:0pt;margin-top:0.05pt;mso-position-vertical-relative:text;margin-left:251.35pt;mso-position-horizontal:center;mso-position-horizontal-relative:margin">
              <v:fill opacity="0f"/>
              <v:textbox inset="0in,0in,0in,0in">
                <w:txbxContent>
                  <w:p>
                    <w:pPr>
                      <w:pStyle w:val="Normal"/>
                      <w:pBdr/>
                      <w:rPr/>
                    </w:pPr>
                    <w:r>
                      <w:rPr/>
                      <w:fldChar w:fldCharType="begin"/>
                    </w:r>
                    <w:r>
                      <w:rPr/>
                      <w:instrText xml:space="preserve"> PAGE \* ARABIC </w:instrText>
                    </w:r>
                    <w:r>
                      <w:rPr/>
                      <w:fldChar w:fldCharType="separate"/>
                    </w:r>
                    <w:r>
                      <w:rPr/>
                      <w:t>399</w:t>
                    </w:r>
                    <w:r>
                      <w:rPr/>
                      <w:fldChar w:fldCharType="end"/>
                    </w:r>
                  </w:p>
                </w:txbxContent>
              </v:textbox>
              <w10:wrap type="square"/>
            </v:rect>
          </w:pict>
        </mc:Fallback>
      </mc:AlternateContent>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59">
              <wp:simplePos x="0" y="0"/>
              <wp:positionH relativeFrom="margin">
                <wp:align>center</wp:align>
              </wp:positionH>
              <wp:positionV relativeFrom="paragraph">
                <wp:posOffset>635</wp:posOffset>
              </wp:positionV>
              <wp:extent cx="209550" cy="163195"/>
              <wp:effectExtent l="0" t="0" r="0" b="0"/>
              <wp:wrapSquare wrapText="bothSides"/>
              <wp:docPr id="10" name="Врезка7"/>
              <a:graphic xmlns:a="http://schemas.openxmlformats.org/drawingml/2006/main">
                <a:graphicData uri="http://schemas.microsoft.com/office/word/2010/wordprocessingShape">
                  <wps:wsp>
                    <wps:cNvSpPr txBox="1"/>
                    <wps:spPr>
                      <a:xfrm>
                        <a:off x="0" y="0"/>
                        <a:ext cx="209550" cy="163195"/>
                      </a:xfrm>
                      <a:prstGeom prst="rect"/>
                      <a:solidFill>
                        <a:srgbClr val="FFFFFF">
                          <a:alpha val="0"/>
                        </a:srgbClr>
                      </a:solidFill>
                    </wps:spPr>
                    <wps:txbx>
                      <w:txbxContent>
                        <w:p>
                          <w:pPr>
                            <w:pStyle w:val="Normal"/>
                            <w:pBdr/>
                            <w:rPr/>
                          </w:pPr>
                          <w:r>
                            <w:rPr/>
                            <w:fldChar w:fldCharType="begin"/>
                          </w:r>
                          <w:r>
                            <w:rPr/>
                            <w:instrText xml:space="preserve"> PAGE \* ARABIC </w:instrText>
                          </w:r>
                          <w:r>
                            <w:rPr/>
                            <w:fldChar w:fldCharType="separate"/>
                          </w:r>
                          <w:r>
                            <w:rPr/>
                            <w:t>405</w:t>
                          </w:r>
                          <w:r>
                            <w:rPr/>
                            <w:fldChar w:fldCharType="end"/>
                          </w:r>
                        </w:p>
                      </w:txbxContent>
                    </wps:txbx>
                    <wps:bodyPr anchor="t" lIns="0" tIns="0" rIns="0" bIns="0">
                      <a:spAutoFit/>
                    </wps:bodyPr>
                  </wps:wsp>
                </a:graphicData>
              </a:graphic>
            </wp:anchor>
          </w:drawing>
        </mc:Choice>
        <mc:Fallback>
          <w:pict>
            <v:rect fillcolor="#FFFFFF" style="position:absolute;rotation:-0;width:16.5pt;height:12.85pt;mso-wrap-distance-left:0pt;mso-wrap-distance-right:0pt;mso-wrap-distance-top:0pt;mso-wrap-distance-bottom:0pt;margin-top:0.05pt;mso-position-vertical-relative:text;margin-left:249.75pt;mso-position-horizontal:center;mso-position-horizontal-relative:margin">
              <v:fill opacity="0f"/>
              <v:textbox inset="0in,0in,0in,0in">
                <w:txbxContent>
                  <w:p>
                    <w:pPr>
                      <w:pStyle w:val="Normal"/>
                      <w:pBdr/>
                      <w:rPr/>
                    </w:pPr>
                    <w:r>
                      <w:rPr/>
                      <w:fldChar w:fldCharType="begin"/>
                    </w:r>
                    <w:r>
                      <w:rPr/>
                      <w:instrText xml:space="preserve"> PAGE \* ARABIC </w:instrText>
                    </w:r>
                    <w:r>
                      <w:rPr/>
                      <w:fldChar w:fldCharType="separate"/>
                    </w:r>
                    <w:r>
                      <w:rPr/>
                      <w:t>405</w:t>
                    </w:r>
                    <w:r>
                      <w:rPr/>
                      <w:fldChar w:fldCharType="end"/>
                    </w:r>
                  </w:p>
                </w:txbxContent>
              </v:textbox>
              <w10:wrap type="square"/>
            </v:rect>
          </w:pict>
        </mc:Fallback>
      </mc:AlternateContent>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r>
      <mc:AlternateContent>
        <mc:Choice Requires="wps">
          <w:drawing>
            <wp:anchor behindDoc="0" distT="0" distB="0" distL="0" distR="0" simplePos="0" locked="0" layoutInCell="0" allowOverlap="1" relativeHeight="258">
              <wp:simplePos x="0" y="0"/>
              <wp:positionH relativeFrom="margin">
                <wp:align>center</wp:align>
              </wp:positionH>
              <wp:positionV relativeFrom="paragraph">
                <wp:posOffset>635</wp:posOffset>
              </wp:positionV>
              <wp:extent cx="267335" cy="204470"/>
              <wp:effectExtent l="0" t="0" r="0" b="0"/>
              <wp:wrapSquare wrapText="bothSides"/>
              <wp:docPr id="14" name="Врезка9"/>
              <a:graphic xmlns:a="http://schemas.openxmlformats.org/drawingml/2006/main">
                <a:graphicData uri="http://schemas.microsoft.com/office/word/2010/wordprocessingShape">
                  <wps:wsp>
                    <wps:cNvSpPr txBox="1"/>
                    <wps:spPr>
                      <a:xfrm>
                        <a:off x="0" y="0"/>
                        <a:ext cx="267335" cy="204470"/>
                      </a:xfrm>
                      <a:prstGeom prst="rect"/>
                      <a:solidFill>
                        <a:srgbClr val="FFFFFF">
                          <a:alpha val="0"/>
                        </a:srgbClr>
                      </a:solidFill>
                    </wps:spPr>
                    <wps:txbx>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430</w:t>
                          </w:r>
                          <w:r>
                            <w:rPr>
                              <w:sz w:val="28"/>
                              <w:szCs w:val="28"/>
                              <w:rFonts w:ascii="Times New Roman" w:hAnsi="Times New Roman"/>
                            </w:rPr>
                            <w:fldChar w:fldCharType="end"/>
                          </w:r>
                        </w:p>
                      </w:txbxContent>
                    </wps:txbx>
                    <wps:bodyPr anchor="t" lIns="0" tIns="0" rIns="0" bIns="0">
                      <a:spAutoFit/>
                    </wps:bodyPr>
                  </wps:wsp>
                </a:graphicData>
              </a:graphic>
            </wp:anchor>
          </w:drawing>
        </mc:Choice>
        <mc:Fallback>
          <w:pict>
            <v:rect fillcolor="#FFFFFF" style="position:absolute;rotation:-0;width:21.05pt;height:16.1pt;mso-wrap-distance-left:0pt;mso-wrap-distance-right:0pt;mso-wrap-distance-top:0pt;mso-wrap-distance-bottom:0pt;margin-top:0.05pt;mso-position-vertical-relative:text;margin-left:363pt;mso-position-horizontal:center;mso-position-horizontal-relative:margin">
              <v:fill opacity="0f"/>
              <v:textbox inset="0in,0in,0in,0in">
                <w:txbxContent>
                  <w:p>
                    <w:pPr>
                      <w:pStyle w:val="Normal"/>
                      <w:pBdr/>
                      <w:rPr>
                        <w:rFonts w:ascii="Times New Roman" w:hAnsi="Times New Roman"/>
                        <w:sz w:val="28"/>
                        <w:szCs w:val="28"/>
                      </w:rPr>
                    </w:pPr>
                    <w:r>
                      <w:rPr>
                        <w:rFonts w:ascii="Times New Roman" w:hAnsi="Times New Roman"/>
                        <w:sz w:val="28"/>
                        <w:szCs w:val="28"/>
                      </w:rPr>
                      <w:fldChar w:fldCharType="begin"/>
                    </w:r>
                    <w:r>
                      <w:rPr>
                        <w:sz w:val="28"/>
                        <w:szCs w:val="28"/>
                        <w:rFonts w:ascii="Times New Roman" w:hAnsi="Times New Roman"/>
                      </w:rPr>
                      <w:instrText xml:space="preserve"> PAGE \* ARABIC </w:instrText>
                    </w:r>
                    <w:r>
                      <w:rPr>
                        <w:sz w:val="28"/>
                        <w:szCs w:val="28"/>
                        <w:rFonts w:ascii="Times New Roman" w:hAnsi="Times New Roman"/>
                      </w:rPr>
                      <w:fldChar w:fldCharType="separate"/>
                    </w:r>
                    <w:r>
                      <w:rPr>
                        <w:sz w:val="28"/>
                        <w:szCs w:val="28"/>
                        <w:rFonts w:ascii="Times New Roman" w:hAnsi="Times New Roman"/>
                      </w:rPr>
                      <w:t>430</w:t>
                    </w:r>
                    <w:r>
                      <w:rPr>
                        <w:sz w:val="28"/>
                        <w:szCs w:val="28"/>
                        <w:rFonts w:ascii="Times New Roman" w:hAnsi="Times New Roman"/>
                      </w:rPr>
                      <w:fldChar w:fldCharType="end"/>
                    </w:r>
                  </w:p>
                </w:txbxContent>
              </v:textbox>
              <w10:wrap type="square"/>
            </v:rect>
          </w:pict>
        </mc:Fallback>
      </mc:AlternateContent>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0" w:hanging="0"/>
      </w:pPr>
      <w:rPr>
        <w:smallCaps w:val="false"/>
        <w:caps w:val="false"/>
        <w:dstrike w:val="false"/>
        <w:strike w:val="false"/>
        <w:sz w:val="26"/>
        <w:spacing w:val="0"/>
        <w:i w:val="false"/>
        <w:u w:val="none"/>
        <w:b w:val="false"/>
        <w:rFonts w:ascii="Times New Roman" w:hAnsi="Times New Roman"/>
        <w:color w:val="000000"/>
      </w:rPr>
    </w:lvl>
    <w:lvl w:ilvl="1">
      <w:start w:val="1"/>
      <w:numFmt w:val="decimal"/>
      <w:lvlText w:val=""/>
      <w:lvlJc w:val="left"/>
      <w:pPr>
        <w:tabs>
          <w:tab w:val="num" w:pos="0"/>
        </w:tabs>
        <w:ind w:left="0" w:hanging="0"/>
      </w:pPr>
      <w:rPr/>
    </w:lvl>
    <w:lvl w:ilvl="2">
      <w:start w:val="1"/>
      <w:numFmt w:val="decimal"/>
      <w:lvlText w:val=""/>
      <w:lvlJc w:val="left"/>
      <w:pPr>
        <w:tabs>
          <w:tab w:val="num" w:pos="0"/>
        </w:tabs>
        <w:ind w:left="0" w:hanging="0"/>
      </w:pPr>
      <w:rPr/>
    </w:lvl>
    <w:lvl w:ilvl="3">
      <w:start w:val="1"/>
      <w:numFmt w:val="decimal"/>
      <w:lvlText w:val=""/>
      <w:lvlJc w:val="left"/>
      <w:pPr>
        <w:tabs>
          <w:tab w:val="num" w:pos="0"/>
        </w:tabs>
        <w:ind w:left="0" w:hanging="0"/>
      </w:pPr>
      <w:rPr/>
    </w:lvl>
    <w:lvl w:ilvl="4">
      <w:start w:val="1"/>
      <w:numFmt w:val="decimal"/>
      <w:lvlText w:val=""/>
      <w:lvlJc w:val="left"/>
      <w:pPr>
        <w:tabs>
          <w:tab w:val="num" w:pos="0"/>
        </w:tabs>
        <w:ind w:left="0" w:hanging="0"/>
      </w:pPr>
      <w:rPr/>
    </w:lvl>
    <w:lvl w:ilvl="5">
      <w:start w:val="1"/>
      <w:numFmt w:val="decimal"/>
      <w:lvlText w:val=""/>
      <w:lvlJc w:val="left"/>
      <w:pPr>
        <w:tabs>
          <w:tab w:val="num" w:pos="0"/>
        </w:tabs>
        <w:ind w:left="0" w:hanging="0"/>
      </w:pPr>
      <w:rPr/>
    </w:lvl>
    <w:lvl w:ilvl="6">
      <w:start w:val="1"/>
      <w:numFmt w:val="decimal"/>
      <w:lvlText w:val=""/>
      <w:lvlJc w:val="left"/>
      <w:pPr>
        <w:tabs>
          <w:tab w:val="num" w:pos="0"/>
        </w:tabs>
        <w:ind w:left="0" w:hanging="0"/>
      </w:pPr>
      <w:rPr/>
    </w:lvl>
    <w:lvl w:ilvl="7">
      <w:start w:val="1"/>
      <w:numFmt w:val="decimal"/>
      <w:lvlText w:val=""/>
      <w:lvlJc w:val="left"/>
      <w:pPr>
        <w:tabs>
          <w:tab w:val="num" w:pos="0"/>
        </w:tabs>
        <w:ind w:left="0" w:hanging="0"/>
      </w:pPr>
      <w:rPr/>
    </w:lvl>
    <w:lvl w:ilvl="8">
      <w:start w:val="1"/>
      <w:numFmt w:val="decimal"/>
      <w:lvlText w:val=""/>
      <w:lvlJc w:val="left"/>
      <w:pPr>
        <w:tabs>
          <w:tab w:val="num" w:pos="0"/>
        </w:tabs>
        <w:ind w:left="0" w:hanging="0"/>
      </w:pPr>
      <w:rPr/>
    </w:lvl>
  </w:abstractNum>
  <w:abstractNum w:abstractNumId="2">
    <w:lvl w:ilvl="0">
      <w:start w:val="1"/>
      <w:numFmt w:val="decimal"/>
      <w:lvlText w:val="%1."/>
      <w:lvlJc w:val="left"/>
      <w:pPr>
        <w:tabs>
          <w:tab w:val="num" w:pos="0"/>
        </w:tabs>
        <w:ind w:left="0" w:hanging="0"/>
      </w:pPr>
      <w:rPr>
        <w:smallCaps w:val="false"/>
        <w:caps w:val="false"/>
        <w:dstrike w:val="false"/>
        <w:strike w:val="false"/>
        <w:sz w:val="26"/>
        <w:spacing w:val="0"/>
        <w:i/>
        <w:u w:val="none"/>
        <w:b w:val="false"/>
        <w:rFonts w:ascii="Times New Roman" w:hAnsi="Times New Roman"/>
        <w:color w:val="000000"/>
      </w:rPr>
    </w:lvl>
    <w:lvl w:ilvl="1">
      <w:start w:val="1"/>
      <w:numFmt w:val="decimal"/>
      <w:lvlText w:val=""/>
      <w:lvlJc w:val="left"/>
      <w:pPr>
        <w:tabs>
          <w:tab w:val="num" w:pos="0"/>
        </w:tabs>
        <w:ind w:left="0" w:hanging="0"/>
      </w:pPr>
      <w:rPr/>
    </w:lvl>
    <w:lvl w:ilvl="2">
      <w:start w:val="1"/>
      <w:numFmt w:val="decimal"/>
      <w:lvlText w:val=""/>
      <w:lvlJc w:val="left"/>
      <w:pPr>
        <w:tabs>
          <w:tab w:val="num" w:pos="0"/>
        </w:tabs>
        <w:ind w:left="0" w:hanging="0"/>
      </w:pPr>
      <w:rPr/>
    </w:lvl>
    <w:lvl w:ilvl="3">
      <w:start w:val="1"/>
      <w:numFmt w:val="decimal"/>
      <w:lvlText w:val=""/>
      <w:lvlJc w:val="left"/>
      <w:pPr>
        <w:tabs>
          <w:tab w:val="num" w:pos="0"/>
        </w:tabs>
        <w:ind w:left="0" w:hanging="0"/>
      </w:pPr>
      <w:rPr/>
    </w:lvl>
    <w:lvl w:ilvl="4">
      <w:start w:val="1"/>
      <w:numFmt w:val="decimal"/>
      <w:lvlText w:val=""/>
      <w:lvlJc w:val="left"/>
      <w:pPr>
        <w:tabs>
          <w:tab w:val="num" w:pos="0"/>
        </w:tabs>
        <w:ind w:left="0" w:hanging="0"/>
      </w:pPr>
      <w:rPr/>
    </w:lvl>
    <w:lvl w:ilvl="5">
      <w:start w:val="1"/>
      <w:numFmt w:val="decimal"/>
      <w:lvlText w:val=""/>
      <w:lvlJc w:val="left"/>
      <w:pPr>
        <w:tabs>
          <w:tab w:val="num" w:pos="0"/>
        </w:tabs>
        <w:ind w:left="0" w:hanging="0"/>
      </w:pPr>
      <w:rPr/>
    </w:lvl>
    <w:lvl w:ilvl="6">
      <w:start w:val="1"/>
      <w:numFmt w:val="decimal"/>
      <w:lvlText w:val=""/>
      <w:lvlJc w:val="left"/>
      <w:pPr>
        <w:tabs>
          <w:tab w:val="num" w:pos="0"/>
        </w:tabs>
        <w:ind w:left="0" w:hanging="0"/>
      </w:pPr>
      <w:rPr/>
    </w:lvl>
    <w:lvl w:ilvl="7">
      <w:start w:val="1"/>
      <w:numFmt w:val="decimal"/>
      <w:lvlText w:val=""/>
      <w:lvlJc w:val="left"/>
      <w:pPr>
        <w:tabs>
          <w:tab w:val="num" w:pos="0"/>
        </w:tabs>
        <w:ind w:left="0" w:hanging="0"/>
      </w:pPr>
      <w:rPr/>
    </w:lvl>
    <w:lvl w:ilvl="8">
      <w:start w:val="1"/>
      <w:numFmt w:val="decimal"/>
      <w:lvlText w:val=""/>
      <w:lvlJc w:val="left"/>
      <w:pPr>
        <w:tabs>
          <w:tab w:val="num" w:pos="0"/>
        </w:tabs>
        <w:ind w:left="0" w:hanging="0"/>
      </w:pPr>
      <w:rPr/>
    </w:lvl>
  </w:abstractNum>
  <w:abstractNum w:abstractNumId="3">
    <w:lvl w:ilvl="0">
      <w:start w:val="1"/>
      <w:numFmt w:val="decimal"/>
      <w:lvlText w:val="2.%1."/>
      <w:lvlJc w:val="left"/>
      <w:pPr>
        <w:tabs>
          <w:tab w:val="num" w:pos="0"/>
        </w:tabs>
        <w:ind w:left="1450" w:hanging="360"/>
      </w:pPr>
      <w:rPr/>
    </w:lvl>
    <w:lvl w:ilvl="1">
      <w:start w:val="1"/>
      <w:numFmt w:val="lowerLetter"/>
      <w:lvlText w:val="%2."/>
      <w:lvlJc w:val="left"/>
      <w:pPr>
        <w:tabs>
          <w:tab w:val="num" w:pos="0"/>
        </w:tabs>
        <w:ind w:left="2170" w:hanging="360"/>
      </w:pPr>
      <w:rPr/>
    </w:lvl>
    <w:lvl w:ilvl="2">
      <w:start w:val="1"/>
      <w:numFmt w:val="lowerRoman"/>
      <w:lvlText w:val="%3."/>
      <w:lvlJc w:val="right"/>
      <w:pPr>
        <w:tabs>
          <w:tab w:val="num" w:pos="0"/>
        </w:tabs>
        <w:ind w:left="2890" w:hanging="180"/>
      </w:pPr>
      <w:rPr/>
    </w:lvl>
    <w:lvl w:ilvl="3">
      <w:start w:val="1"/>
      <w:numFmt w:val="decimal"/>
      <w:lvlText w:val="%4."/>
      <w:lvlJc w:val="left"/>
      <w:pPr>
        <w:tabs>
          <w:tab w:val="num" w:pos="0"/>
        </w:tabs>
        <w:ind w:left="3610" w:hanging="360"/>
      </w:pPr>
      <w:rPr/>
    </w:lvl>
    <w:lvl w:ilvl="4">
      <w:start w:val="1"/>
      <w:numFmt w:val="lowerLetter"/>
      <w:lvlText w:val="%5."/>
      <w:lvlJc w:val="left"/>
      <w:pPr>
        <w:tabs>
          <w:tab w:val="num" w:pos="0"/>
        </w:tabs>
        <w:ind w:left="4330" w:hanging="360"/>
      </w:pPr>
      <w:rPr/>
    </w:lvl>
    <w:lvl w:ilvl="5">
      <w:start w:val="1"/>
      <w:numFmt w:val="lowerRoman"/>
      <w:lvlText w:val="%6."/>
      <w:lvlJc w:val="right"/>
      <w:pPr>
        <w:tabs>
          <w:tab w:val="num" w:pos="0"/>
        </w:tabs>
        <w:ind w:left="5050" w:hanging="180"/>
      </w:pPr>
      <w:rPr/>
    </w:lvl>
    <w:lvl w:ilvl="6">
      <w:start w:val="1"/>
      <w:numFmt w:val="decimal"/>
      <w:lvlText w:val="%7."/>
      <w:lvlJc w:val="left"/>
      <w:pPr>
        <w:tabs>
          <w:tab w:val="num" w:pos="0"/>
        </w:tabs>
        <w:ind w:left="5770" w:hanging="360"/>
      </w:pPr>
      <w:rPr/>
    </w:lvl>
    <w:lvl w:ilvl="7">
      <w:start w:val="1"/>
      <w:numFmt w:val="lowerLetter"/>
      <w:lvlText w:val="%8."/>
      <w:lvlJc w:val="left"/>
      <w:pPr>
        <w:tabs>
          <w:tab w:val="num" w:pos="0"/>
        </w:tabs>
        <w:ind w:left="6490" w:hanging="360"/>
      </w:pPr>
      <w:rPr/>
    </w:lvl>
    <w:lvl w:ilvl="8">
      <w:start w:val="1"/>
      <w:numFmt w:val="lowerRoman"/>
      <w:lvlText w:val="%9."/>
      <w:lvlJc w:val="right"/>
      <w:pPr>
        <w:tabs>
          <w:tab w:val="num" w:pos="0"/>
        </w:tabs>
        <w:ind w:left="7210" w:hanging="180"/>
      </w:pPr>
      <w:rPr/>
    </w:lvl>
  </w:abstractNum>
  <w:abstractNum w:abstractNumId="4">
    <w:lvl w:ilvl="0">
      <w:start w:val="1"/>
      <w:numFmt w:val="decimal"/>
      <w:lvlText w:val="2.3.%1."/>
      <w:lvlJc w:val="left"/>
      <w:pPr>
        <w:tabs>
          <w:tab w:val="num" w:pos="0"/>
        </w:tabs>
        <w:ind w:left="1450" w:hanging="360"/>
      </w:pPr>
      <w:rPr/>
    </w:lvl>
    <w:lvl w:ilvl="1">
      <w:start w:val="1"/>
      <w:numFmt w:val="lowerLetter"/>
      <w:lvlText w:val="%2."/>
      <w:lvlJc w:val="left"/>
      <w:pPr>
        <w:tabs>
          <w:tab w:val="num" w:pos="0"/>
        </w:tabs>
        <w:ind w:left="1440" w:hanging="360"/>
      </w:pPr>
      <w:rPr/>
    </w:lvl>
    <w:lvl w:ilvl="2">
      <w:start w:val="1"/>
      <w:numFmt w:val="decimal"/>
      <w:lvlText w:val="2.3.%3."/>
      <w:lvlJc w:val="lef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
    <w:lvl w:ilvl="0">
      <w:start w:val="1"/>
      <w:numFmt w:val="decimal"/>
      <w:lvlText w:val="2.2.%1."/>
      <w:lvlJc w:val="left"/>
      <w:pPr>
        <w:tabs>
          <w:tab w:val="num" w:pos="0"/>
        </w:tabs>
        <w:ind w:left="0" w:hanging="0"/>
      </w:pPr>
      <w:rPr>
        <w:smallCaps w:val="false"/>
        <w:caps w:val="false"/>
        <w:dstrike w:val="false"/>
        <w:strike w:val="false"/>
        <w:sz w:val="26"/>
        <w:spacing w:val="0"/>
        <w:i w:val="false"/>
        <w:u w:val="none"/>
        <w:b/>
        <w:rFonts w:ascii="Times New Roman" w:hAnsi="Times New Roman"/>
        <w:color w:val="000000"/>
      </w:rPr>
    </w:lvl>
    <w:lvl w:ilvl="1">
      <w:start w:val="1"/>
      <w:numFmt w:val="decimal"/>
      <w:lvlText w:val=""/>
      <w:lvlJc w:val="left"/>
      <w:pPr>
        <w:tabs>
          <w:tab w:val="num" w:pos="0"/>
        </w:tabs>
        <w:ind w:left="0" w:hanging="0"/>
      </w:pPr>
      <w:rPr/>
    </w:lvl>
    <w:lvl w:ilvl="2">
      <w:start w:val="1"/>
      <w:numFmt w:val="decimal"/>
      <w:lvlText w:val=""/>
      <w:lvlJc w:val="left"/>
      <w:pPr>
        <w:tabs>
          <w:tab w:val="num" w:pos="0"/>
        </w:tabs>
        <w:ind w:left="0" w:hanging="0"/>
      </w:pPr>
      <w:rPr/>
    </w:lvl>
    <w:lvl w:ilvl="3">
      <w:start w:val="1"/>
      <w:numFmt w:val="decimal"/>
      <w:lvlText w:val=""/>
      <w:lvlJc w:val="left"/>
      <w:pPr>
        <w:tabs>
          <w:tab w:val="num" w:pos="0"/>
        </w:tabs>
        <w:ind w:left="0" w:hanging="0"/>
      </w:pPr>
      <w:rPr/>
    </w:lvl>
    <w:lvl w:ilvl="4">
      <w:start w:val="1"/>
      <w:numFmt w:val="decimal"/>
      <w:lvlText w:val=""/>
      <w:lvlJc w:val="left"/>
      <w:pPr>
        <w:tabs>
          <w:tab w:val="num" w:pos="0"/>
        </w:tabs>
        <w:ind w:left="0" w:hanging="0"/>
      </w:pPr>
      <w:rPr/>
    </w:lvl>
    <w:lvl w:ilvl="5">
      <w:start w:val="1"/>
      <w:numFmt w:val="decimal"/>
      <w:lvlText w:val=""/>
      <w:lvlJc w:val="left"/>
      <w:pPr>
        <w:tabs>
          <w:tab w:val="num" w:pos="0"/>
        </w:tabs>
        <w:ind w:left="0" w:hanging="0"/>
      </w:pPr>
      <w:rPr/>
    </w:lvl>
    <w:lvl w:ilvl="6">
      <w:start w:val="1"/>
      <w:numFmt w:val="decimal"/>
      <w:lvlText w:val=""/>
      <w:lvlJc w:val="left"/>
      <w:pPr>
        <w:tabs>
          <w:tab w:val="num" w:pos="0"/>
        </w:tabs>
        <w:ind w:left="0" w:hanging="0"/>
      </w:pPr>
      <w:rPr/>
    </w:lvl>
    <w:lvl w:ilvl="7">
      <w:start w:val="1"/>
      <w:numFmt w:val="decimal"/>
      <w:lvlText w:val=""/>
      <w:lvlJc w:val="left"/>
      <w:pPr>
        <w:tabs>
          <w:tab w:val="num" w:pos="0"/>
        </w:tabs>
        <w:ind w:left="0" w:hanging="0"/>
      </w:pPr>
      <w:rPr/>
    </w:lvl>
    <w:lvl w:ilvl="8">
      <w:start w:val="1"/>
      <w:numFmt w:val="decimal"/>
      <w:lvlText w:val=""/>
      <w:lvlJc w:val="left"/>
      <w:pPr>
        <w:tabs>
          <w:tab w:val="num" w:pos="0"/>
        </w:tabs>
        <w:ind w:left="0" w:hanging="0"/>
      </w:pPr>
      <w:rPr/>
    </w:lvl>
  </w:abstractNum>
  <w:abstractNum w:abstractNumId="6">
    <w:lvl w:ilvl="0">
      <w:start w:val="1"/>
      <w:numFmt w:val="decimal"/>
      <w:lvlText w:val="%1."/>
      <w:lvlJc w:val="left"/>
      <w:pPr>
        <w:tabs>
          <w:tab w:val="num" w:pos="0"/>
        </w:tabs>
        <w:ind w:left="0" w:hanging="0"/>
      </w:pPr>
      <w:rPr>
        <w:smallCaps w:val="false"/>
        <w:caps w:val="false"/>
        <w:dstrike w:val="false"/>
        <w:strike w:val="false"/>
        <w:sz w:val="28"/>
        <w:spacing w:val="0"/>
        <w:i w:val="false"/>
        <w:u w:val="none"/>
        <w:b/>
        <w:rFonts w:ascii="Times New Roman" w:hAnsi="Times New Roman"/>
        <w:color w:val="000000"/>
      </w:rPr>
    </w:lvl>
    <w:lvl w:ilvl="1">
      <w:start w:val="1"/>
      <w:numFmt w:val="decimal"/>
      <w:lvlText w:val="%1.%2."/>
      <w:lvlJc w:val="left"/>
      <w:pPr>
        <w:tabs>
          <w:tab w:val="num" w:pos="0"/>
        </w:tabs>
        <w:ind w:left="0" w:hanging="0"/>
      </w:pPr>
      <w:rPr>
        <w:smallCaps w:val="false"/>
        <w:caps w:val="false"/>
        <w:dstrike w:val="false"/>
        <w:strike w:val="false"/>
        <w:sz w:val="28"/>
        <w:spacing w:val="0"/>
        <w:i w:val="false"/>
        <w:u w:val="none"/>
        <w:b/>
        <w:rFonts w:ascii="Times New Roman" w:hAnsi="Times New Roman"/>
        <w:color w:val="000000"/>
      </w:rPr>
    </w:lvl>
    <w:lvl w:ilvl="2">
      <w:start w:val="1"/>
      <w:numFmt w:val="decimal"/>
      <w:lvlText w:val=""/>
      <w:lvlJc w:val="left"/>
      <w:pPr>
        <w:tabs>
          <w:tab w:val="num" w:pos="0"/>
        </w:tabs>
        <w:ind w:left="0" w:hanging="0"/>
      </w:pPr>
      <w:rPr/>
    </w:lvl>
    <w:lvl w:ilvl="3">
      <w:start w:val="1"/>
      <w:numFmt w:val="decimal"/>
      <w:lvlText w:val=""/>
      <w:lvlJc w:val="left"/>
      <w:pPr>
        <w:tabs>
          <w:tab w:val="num" w:pos="0"/>
        </w:tabs>
        <w:ind w:left="0" w:hanging="0"/>
      </w:pPr>
      <w:rPr/>
    </w:lvl>
    <w:lvl w:ilvl="4">
      <w:start w:val="1"/>
      <w:numFmt w:val="decimal"/>
      <w:lvlText w:val=""/>
      <w:lvlJc w:val="left"/>
      <w:pPr>
        <w:tabs>
          <w:tab w:val="num" w:pos="0"/>
        </w:tabs>
        <w:ind w:left="0" w:hanging="0"/>
      </w:pPr>
      <w:rPr/>
    </w:lvl>
    <w:lvl w:ilvl="5">
      <w:start w:val="1"/>
      <w:numFmt w:val="decimal"/>
      <w:lvlText w:val=""/>
      <w:lvlJc w:val="left"/>
      <w:pPr>
        <w:tabs>
          <w:tab w:val="num" w:pos="0"/>
        </w:tabs>
        <w:ind w:left="0" w:hanging="0"/>
      </w:pPr>
      <w:rPr/>
    </w:lvl>
    <w:lvl w:ilvl="6">
      <w:start w:val="1"/>
      <w:numFmt w:val="decimal"/>
      <w:lvlText w:val=""/>
      <w:lvlJc w:val="left"/>
      <w:pPr>
        <w:tabs>
          <w:tab w:val="num" w:pos="0"/>
        </w:tabs>
        <w:ind w:left="0" w:hanging="0"/>
      </w:pPr>
      <w:rPr/>
    </w:lvl>
    <w:lvl w:ilvl="7">
      <w:start w:val="1"/>
      <w:numFmt w:val="decimal"/>
      <w:lvlText w:val=""/>
      <w:lvlJc w:val="left"/>
      <w:pPr>
        <w:tabs>
          <w:tab w:val="num" w:pos="0"/>
        </w:tabs>
        <w:ind w:left="0" w:hanging="0"/>
      </w:pPr>
      <w:rPr/>
    </w:lvl>
    <w:lvl w:ilvl="8">
      <w:start w:val="1"/>
      <w:numFmt w:val="decimal"/>
      <w:lvlText w:val=""/>
      <w:lvlJc w:val="left"/>
      <w:pPr>
        <w:tabs>
          <w:tab w:val="num" w:pos="0"/>
        </w:tabs>
        <w:ind w:left="0" w:hanging="0"/>
      </w:pPr>
      <w:rPr/>
    </w:lvl>
  </w:abstractNum>
  <w:abstractNum w:abstractNumId="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w="http://schemas.openxmlformats.org/wordprocessingml/2006/main">
  <w:zoom w:percent="65"/>
  <w:defaultTabStop w:val="708"/>
  <w:autoHyphenation w:val="true"/>
  <w:footnotePr>
    <w:numFmt w:val="decimal"/>
    <w:footnote w:id="0"/>
    <w:footnote w:id="1"/>
  </w:footnotePr>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Unicode MS" w:hAnsi="Arial Unicode MS" w:eastAsia="Tahoma" w:cs="Lohit Devanagari"/>
        <w:color w:val="000000"/>
        <w:sz w:val="24"/>
        <w:lang w:val="ru-RU" w:eastAsia="zh-CN" w:bidi="hi-IN"/>
      </w:rPr>
    </w:rPrDefault>
    <w:pPrDefault>
      <w:pPr>
        <w:suppressAutoHyphens w:val="true"/>
      </w:pPr>
    </w:pPrDefault>
  </w:docDefaults>
  <w:latentStyles w:defLockedState="0" w:defUIPriority="99" w:defSemiHidden="1" w:defUnhideWhenUsed="1" w:defQFormat="0" w:count="24">
    <w:lsdException w:name="Normal" w:uiPriority="0" w:semiHidden="0" w:unhideWhenUsed="0" w:qFormat="1"/>
    <w:lsdException w:name="heading 1" w:uiPriority="9" w:semiHidden="0" w:unhideWhenUsed="0" w:qFormat="1"/>
    <w:lsdException w:name="heading 2" w:uiPriority="9" w:semiHidden="0" w:unhideWhenUsed="0" w:qFormat="1"/>
    <w:lsdException w:name="heading 3" w:uiPriority="9" w:semiHidden="0" w:unhideWhenUsed="0" w:qFormat="1"/>
    <w:lsdException w:name="heading 4" w:uiPriority="9" w:semiHidden="0" w:unhideWhenUsed="0" w:qFormat="1"/>
    <w:lsdException w:name="heading 5" w:uiPriority="9" w:semiHidden="0" w:unhideWhenUsed="0" w:qFormat="1"/>
    <w:lsdException w:name="heading 6" w:uiPriority="9" w:semiHidden="0" w:unhideWhenUsed="0" w:qFormat="1"/>
    <w:lsdException w:name="heading 7" w:uiPriority="9" w:semiHidden="0" w:unhideWhenUsed="0" w:qFormat="1"/>
    <w:lsdException w:name="heading 8" w:uiPriority="9" w:semiHidden="0" w:unhideWhenUsed="0" w:qFormat="1"/>
    <w:lsdException w:name="heading 9" w:uiPriority="9" w:semiHidden="0" w:unhideWhenUsed="0" w:qFormat="1"/>
    <w:lsdException w:name="Title" w:uiPriority="10" w:semiHidden="0" w:unhideWhenUsed="0" w:qFormat="1"/>
    <w:lsdException w:name="Subtitle" w:uiPriority="11" w:semiHidden="0" w:unhideWhenUsed="0" w:qFormat="1"/>
    <w:lsdException w:name="Header and Footer" w:semiHidden="0" w:unhideWhenUsed="0" w:qFormat="0"/>
    <w:lsdException w:name="Footnote" w:semiHidden="0" w:unhideWhenUsed="0" w:qFormat="0"/>
    <w:lsdException w:name="toc 1" w:uiPriority="39" w:semiHidden="0" w:unhideWhenUsed="0" w:qFormat="0"/>
    <w:lsdException w:name="toc 2" w:uiPriority="39" w:semiHidden="0" w:unhideWhenUsed="0" w:qFormat="0"/>
    <w:lsdException w:name="toc 3" w:uiPriority="39" w:semiHidden="0" w:unhideWhenUsed="0" w:qFormat="0"/>
    <w:lsdException w:name="toc 4" w:uiPriority="39" w:semiHidden="0" w:unhideWhenUsed="0" w:qFormat="0"/>
    <w:lsdException w:name="toc 5" w:uiPriority="39" w:semiHidden="0" w:unhideWhenUsed="0" w:qFormat="0"/>
    <w:lsdException w:name="toc 6" w:uiPriority="39" w:semiHidden="0" w:unhideWhenUsed="0" w:qFormat="0"/>
    <w:lsdException w:name="toc 7" w:uiPriority="39" w:semiHidden="0" w:unhideWhenUsed="0" w:qFormat="0"/>
    <w:lsdException w:name="toc 8" w:uiPriority="39" w:semiHidden="0" w:unhideWhenUsed="0" w:qFormat="0"/>
    <w:lsdException w:name="toc 9" w:uiPriority="39" w:semiHidden="0" w:unhideWhenUsed="0" w:qFormat="0"/>
    <w:lsdException w:name="Hyperlink" w:semiHidden="0" w:unhideWhenUsed="0" w:qFormat="0"/>
  </w:latentStyles>
  <w:style w:type="paragraph" w:styleId="Normal" w:default="1">
    <w:name w:val="Normal"/>
    <w:uiPriority w:val="0"/>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24"/>
      <w:szCs w:val="20"/>
      <w:lang w:val="ru-RU" w:eastAsia="zh-CN" w:bidi="hi-IN"/>
    </w:rPr>
  </w:style>
  <w:style w:type="paragraph" w:styleId="Heading1">
    <w:name w:val="Heading 1"/>
    <w:basedOn w:val="112"/>
    <w:next w:val="Normal"/>
    <w:uiPriority w:val="9"/>
    <w:qFormat/>
    <w:pPr>
      <w:keepNext w:val="true"/>
      <w:keepLines/>
      <w:numPr>
        <w:ilvl w:val="0"/>
        <w:numId w:val="6"/>
      </w:numPr>
      <w:tabs>
        <w:tab w:val="clear" w:pos="708"/>
        <w:tab w:val="left" w:pos="1061" w:leader="none"/>
      </w:tabs>
    </w:pPr>
    <w:rPr/>
  </w:style>
  <w:style w:type="paragraph" w:styleId="Heading2">
    <w:name w:val="Heading 2"/>
    <w:basedOn w:val="211"/>
    <w:next w:val="Normal"/>
    <w:uiPriority w:val="9"/>
    <w:qFormat/>
    <w:pPr>
      <w:keepNext w:val="true"/>
      <w:keepLines/>
      <w:numPr>
        <w:ilvl w:val="1"/>
        <w:numId w:val="6"/>
      </w:numPr>
      <w:tabs>
        <w:tab w:val="clear" w:pos="708"/>
        <w:tab w:val="left" w:pos="1281" w:leader="none"/>
      </w:tabs>
      <w:spacing w:lineRule="auto" w:line="228"/>
    </w:pPr>
    <w:rPr/>
  </w:style>
  <w:style w:type="paragraph" w:styleId="Heading3">
    <w:name w:val="Heading 3"/>
    <w:basedOn w:val="31"/>
    <w:next w:val="Normal"/>
    <w:uiPriority w:val="9"/>
    <w:qFormat/>
    <w:pPr>
      <w:keepNext w:val="true"/>
      <w:keepLines/>
      <w:numPr>
        <w:ilvl w:val="0"/>
        <w:numId w:val="5"/>
      </w:numPr>
      <w:tabs>
        <w:tab w:val="clear" w:pos="708"/>
        <w:tab w:val="left" w:pos="1444" w:leader="none"/>
      </w:tabs>
      <w:jc w:val="both"/>
    </w:pPr>
    <w:rPr/>
  </w:style>
  <w:style w:type="paragraph" w:styleId="Heading4">
    <w:name w:val="Heading 4"/>
    <w:basedOn w:val="Normal"/>
    <w:next w:val="Normal"/>
    <w:uiPriority w:val="9"/>
    <w:qFormat/>
    <w:pPr>
      <w:keepNext w:val="true"/>
      <w:keepLines/>
      <w:spacing w:before="320" w:after="200"/>
      <w:outlineLvl w:val="3"/>
    </w:pPr>
    <w:rPr>
      <w:rFonts w:ascii="Arial" w:hAnsi="Arial"/>
      <w:b/>
      <w:sz w:val="26"/>
    </w:rPr>
  </w:style>
  <w:style w:type="paragraph" w:styleId="Heading5">
    <w:name w:val="Heading 5"/>
    <w:basedOn w:val="Normal"/>
    <w:next w:val="Normal"/>
    <w:uiPriority w:val="9"/>
    <w:qFormat/>
    <w:pPr>
      <w:keepNext w:val="true"/>
      <w:keepLines/>
      <w:spacing w:before="320" w:after="200"/>
      <w:outlineLvl w:val="4"/>
    </w:pPr>
    <w:rPr>
      <w:rFonts w:ascii="Arial" w:hAnsi="Arial"/>
      <w:b/>
    </w:rPr>
  </w:style>
  <w:style w:type="paragraph" w:styleId="Heading6">
    <w:name w:val="Heading 6"/>
    <w:basedOn w:val="Normal"/>
    <w:next w:val="Normal"/>
    <w:uiPriority w:val="9"/>
    <w:qFormat/>
    <w:pPr>
      <w:keepNext w:val="true"/>
      <w:keepLines/>
      <w:spacing w:before="320" w:after="200"/>
      <w:outlineLvl w:val="5"/>
    </w:pPr>
    <w:rPr>
      <w:rFonts w:ascii="Arial" w:hAnsi="Arial"/>
      <w:b/>
      <w:sz w:val="22"/>
    </w:rPr>
  </w:style>
  <w:style w:type="paragraph" w:styleId="Heading7">
    <w:name w:val="Heading 7"/>
    <w:basedOn w:val="Normal"/>
    <w:next w:val="Normal"/>
    <w:uiPriority w:val="9"/>
    <w:qFormat/>
    <w:pPr>
      <w:keepNext w:val="true"/>
      <w:keepLines/>
      <w:spacing w:before="320" w:after="200"/>
      <w:outlineLvl w:val="6"/>
    </w:pPr>
    <w:rPr>
      <w:rFonts w:ascii="Arial" w:hAnsi="Arial"/>
      <w:b/>
      <w:i/>
      <w:sz w:val="22"/>
    </w:rPr>
  </w:style>
  <w:style w:type="paragraph" w:styleId="Heading8">
    <w:name w:val="Heading 8"/>
    <w:basedOn w:val="Normal"/>
    <w:next w:val="Normal"/>
    <w:uiPriority w:val="9"/>
    <w:qFormat/>
    <w:pPr>
      <w:keepNext w:val="true"/>
      <w:keepLines/>
      <w:spacing w:before="320" w:after="200"/>
      <w:outlineLvl w:val="7"/>
    </w:pPr>
    <w:rPr>
      <w:rFonts w:ascii="Arial" w:hAnsi="Arial"/>
      <w:i/>
      <w:sz w:val="22"/>
    </w:rPr>
  </w:style>
  <w:style w:type="paragraph" w:styleId="Heading9">
    <w:name w:val="Heading 9"/>
    <w:basedOn w:val="Normal"/>
    <w:next w:val="Normal"/>
    <w:uiPriority w:val="9"/>
    <w:qFormat/>
    <w:pPr>
      <w:keepNext w:val="true"/>
      <w:keepLines/>
      <w:spacing w:before="320" w:after="200"/>
      <w:outlineLvl w:val="8"/>
    </w:pPr>
    <w:rPr>
      <w:rFonts w:ascii="Arial" w:hAnsi="Arial"/>
      <w:i/>
      <w:sz w:val="21"/>
    </w:rPr>
  </w:style>
  <w:style w:type="character" w:styleId="FooterChar">
    <w:name w:val="Footer Char"/>
    <w:basedOn w:val="DefaultParagraphFont"/>
    <w:link w:val="FooterChar1"/>
    <w:qFormat/>
    <w:rPr/>
  </w:style>
  <w:style w:type="character" w:styleId="Heading8Char">
    <w:name w:val="Heading 8 Char"/>
    <w:basedOn w:val="DefaultParagraphFont"/>
    <w:link w:val="Heading8Char1"/>
    <w:qFormat/>
    <w:rPr>
      <w:rFonts w:ascii="Arial" w:hAnsi="Arial"/>
      <w:i/>
      <w:sz w:val="22"/>
    </w:rPr>
  </w:style>
  <w:style w:type="character" w:styleId="Style5">
    <w:name w:val="Сноска"/>
    <w:link w:val="FootnoteText"/>
    <w:qFormat/>
    <w:rPr>
      <w:rFonts w:ascii="Times New Roman" w:hAnsi="Times New Roman"/>
      <w:sz w:val="20"/>
    </w:rPr>
  </w:style>
  <w:style w:type="character" w:styleId="Contents2">
    <w:name w:val="Contents 2"/>
    <w:qFormat/>
    <w:rPr/>
  </w:style>
  <w:style w:type="character" w:styleId="5">
    <w:name w:val="Основной текст (5)"/>
    <w:link w:val="51"/>
    <w:qFormat/>
    <w:rPr>
      <w:rFonts w:ascii="Times New Roman" w:hAnsi="Times New Roman"/>
      <w:sz w:val="20"/>
    </w:rPr>
  </w:style>
  <w:style w:type="character" w:styleId="Contents4">
    <w:name w:val="Contents 4"/>
    <w:qFormat/>
    <w:rPr/>
  </w:style>
  <w:style w:type="character" w:styleId="Style6">
    <w:name w:val="Другое"/>
    <w:link w:val="12"/>
    <w:qFormat/>
    <w:rPr>
      <w:rFonts w:ascii="Times New Roman" w:hAnsi="Times New Roman"/>
      <w:sz w:val="26"/>
    </w:rPr>
  </w:style>
  <w:style w:type="character" w:styleId="Heading71">
    <w:name w:val="Heading 71"/>
    <w:qFormat/>
    <w:rPr>
      <w:rFonts w:ascii="Arial" w:hAnsi="Arial"/>
      <w:b/>
      <w:i/>
      <w:sz w:val="22"/>
    </w:rPr>
  </w:style>
  <w:style w:type="character" w:styleId="Style7">
    <w:name w:val="Символ сноски"/>
    <w:basedOn w:val="DefaultParagraphFont"/>
    <w:qFormat/>
    <w:rPr>
      <w:vertAlign w:val="superscript"/>
    </w:rPr>
  </w:style>
  <w:style w:type="character" w:styleId="FootnoteReference">
    <w:name w:val="Footnote Reference"/>
    <w:rPr>
      <w:vertAlign w:val="superscript"/>
    </w:rPr>
  </w:style>
  <w:style w:type="character" w:styleId="Contents6">
    <w:name w:val="Contents 6"/>
    <w:qFormat/>
    <w:rPr/>
  </w:style>
  <w:style w:type="character" w:styleId="Contents7">
    <w:name w:val="Contents 7"/>
    <w:qFormat/>
    <w:rPr/>
  </w:style>
  <w:style w:type="character" w:styleId="Endnote">
    <w:name w:val="Endnote"/>
    <w:qFormat/>
    <w:rPr>
      <w:sz w:val="20"/>
    </w:rPr>
  </w:style>
  <w:style w:type="character" w:styleId="Heading9Char">
    <w:name w:val="Heading 9 Char"/>
    <w:basedOn w:val="DefaultParagraphFont"/>
    <w:link w:val="Heading9Char1"/>
    <w:qFormat/>
    <w:rPr>
      <w:rFonts w:ascii="Arial" w:hAnsi="Arial"/>
      <w:i/>
      <w:sz w:val="21"/>
    </w:rPr>
  </w:style>
  <w:style w:type="character" w:styleId="2">
    <w:name w:val="Заголовок №2"/>
    <w:link w:val="211"/>
    <w:qFormat/>
    <w:rPr>
      <w:rFonts w:ascii="Times New Roman" w:hAnsi="Times New Roman"/>
      <w:b/>
      <w:sz w:val="28"/>
    </w:rPr>
  </w:style>
  <w:style w:type="character" w:styleId="Heading31">
    <w:name w:val="Heading 31"/>
    <w:basedOn w:val="3"/>
    <w:qFormat/>
    <w:rPr/>
  </w:style>
  <w:style w:type="character" w:styleId="BalloonText">
    <w:name w:val="Balloon Text"/>
    <w:link w:val="BalloonText1"/>
    <w:qFormat/>
    <w:rPr>
      <w:rFonts w:ascii="Segoe UI" w:hAnsi="Segoe UI"/>
      <w:sz w:val="18"/>
    </w:rPr>
  </w:style>
  <w:style w:type="character" w:styleId="ListParagraph">
    <w:name w:val="List Paragraph"/>
    <w:link w:val="ListParagraph1"/>
    <w:qFormat/>
    <w:rPr/>
  </w:style>
  <w:style w:type="character" w:styleId="FigureIndex1">
    <w:name w:val="Figure Index 1"/>
    <w:qFormat/>
    <w:rPr/>
  </w:style>
  <w:style w:type="character" w:styleId="IntenseQuoteChar">
    <w:name w:val="Intense Quote Char"/>
    <w:link w:val="IntenseQuoteChar1"/>
    <w:qFormat/>
    <w:rPr>
      <w:i/>
    </w:rPr>
  </w:style>
  <w:style w:type="character" w:styleId="Heading91">
    <w:name w:val="Heading 91"/>
    <w:qFormat/>
    <w:rPr>
      <w:rFonts w:ascii="Arial" w:hAnsi="Arial"/>
      <w:i/>
      <w:sz w:val="21"/>
    </w:rPr>
  </w:style>
  <w:style w:type="character" w:styleId="Heading3Char">
    <w:name w:val="Heading 3 Char"/>
    <w:basedOn w:val="DefaultParagraphFont"/>
    <w:link w:val="Heading3Char1"/>
    <w:qFormat/>
    <w:rPr>
      <w:rFonts w:ascii="Arial" w:hAnsi="Arial"/>
      <w:sz w:val="30"/>
    </w:rPr>
  </w:style>
  <w:style w:type="character" w:styleId="Quote">
    <w:name w:val="Quote"/>
    <w:link w:val="Quote1"/>
    <w:qFormat/>
    <w:rPr>
      <w:i/>
    </w:rPr>
  </w:style>
  <w:style w:type="character" w:styleId="ConsPlusTitle">
    <w:name w:val="ConsPlusTitle"/>
    <w:link w:val="ConsPlusTitle1"/>
    <w:qFormat/>
    <w:rPr>
      <w:rFonts w:ascii="Arial" w:hAnsi="Arial"/>
      <w:b/>
      <w:sz w:val="20"/>
    </w:rPr>
  </w:style>
  <w:style w:type="character" w:styleId="Annotationtext">
    <w:name w:val="annotation text"/>
    <w:link w:val="Annotationtext1"/>
    <w:qFormat/>
    <w:rPr>
      <w:sz w:val="20"/>
    </w:rPr>
  </w:style>
  <w:style w:type="character" w:styleId="SubtitleChar">
    <w:name w:val="Subtitle Char"/>
    <w:basedOn w:val="DefaultParagraphFont"/>
    <w:link w:val="SubtitleChar1"/>
    <w:qFormat/>
    <w:rPr>
      <w:sz w:val="24"/>
    </w:rPr>
  </w:style>
  <w:style w:type="character" w:styleId="3">
    <w:name w:val="Заголовок №3"/>
    <w:link w:val="31"/>
    <w:qFormat/>
    <w:rPr>
      <w:rFonts w:ascii="Times New Roman" w:hAnsi="Times New Roman"/>
      <w:b/>
      <w:sz w:val="26"/>
    </w:rPr>
  </w:style>
  <w:style w:type="character" w:styleId="Style8">
    <w:name w:val="Оглавление"/>
    <w:link w:val="13"/>
    <w:qFormat/>
    <w:rPr>
      <w:rFonts w:ascii="Times New Roman" w:hAnsi="Times New Roman"/>
      <w:sz w:val="26"/>
    </w:rPr>
  </w:style>
  <w:style w:type="character" w:styleId="Heading6Char">
    <w:name w:val="Heading 6 Char"/>
    <w:basedOn w:val="DefaultParagraphFont"/>
    <w:link w:val="Heading6Char1"/>
    <w:qFormat/>
    <w:rPr>
      <w:rFonts w:ascii="Arial" w:hAnsi="Arial"/>
      <w:b/>
      <w:sz w:val="22"/>
    </w:rPr>
  </w:style>
  <w:style w:type="character" w:styleId="Contents3">
    <w:name w:val="Contents 3"/>
    <w:qFormat/>
    <w:rPr/>
  </w:style>
  <w:style w:type="character" w:styleId="Header1">
    <w:name w:val="Header1"/>
    <w:qFormat/>
    <w:rPr/>
  </w:style>
  <w:style w:type="character" w:styleId="Heading4Char">
    <w:name w:val="Heading 4 Char"/>
    <w:basedOn w:val="DefaultParagraphFont"/>
    <w:link w:val="Heading4Char1"/>
    <w:qFormat/>
    <w:rPr>
      <w:rFonts w:ascii="Arial" w:hAnsi="Arial"/>
      <w:b/>
      <w:sz w:val="26"/>
    </w:rPr>
  </w:style>
  <w:style w:type="character" w:styleId="IntenseQuote">
    <w:name w:val="Intense Quote"/>
    <w:link w:val="IntenseQuote1"/>
    <w:qFormat/>
    <w:rPr>
      <w:i/>
    </w:rPr>
  </w:style>
  <w:style w:type="character" w:styleId="Annotationsubject">
    <w:name w:val="annotation subject"/>
    <w:basedOn w:val="Annotationtext"/>
    <w:link w:val="Annotationsubject1"/>
    <w:qFormat/>
    <w:rPr>
      <w:b/>
    </w:rPr>
  </w:style>
  <w:style w:type="character" w:styleId="Heading5Char">
    <w:name w:val="Heading 5 Char"/>
    <w:basedOn w:val="DefaultParagraphFont"/>
    <w:link w:val="Heading5Char1"/>
    <w:qFormat/>
    <w:rPr>
      <w:rFonts w:ascii="Arial" w:hAnsi="Arial"/>
      <w:b/>
      <w:sz w:val="24"/>
    </w:rPr>
  </w:style>
  <w:style w:type="character" w:styleId="Heading51">
    <w:name w:val="Heading 51"/>
    <w:qFormat/>
    <w:rPr>
      <w:rFonts w:ascii="Arial" w:hAnsi="Arial"/>
      <w:b/>
    </w:rPr>
  </w:style>
  <w:style w:type="character" w:styleId="FootnoteTextChar">
    <w:name w:val="Footnote Text Char"/>
    <w:link w:val="FootnoteTextChar1"/>
    <w:qFormat/>
    <w:rPr>
      <w:sz w:val="18"/>
    </w:rPr>
  </w:style>
  <w:style w:type="character" w:styleId="Heading7Char">
    <w:name w:val="Heading 7 Char"/>
    <w:basedOn w:val="DefaultParagraphFont"/>
    <w:link w:val="Heading7Char1"/>
    <w:qFormat/>
    <w:rPr>
      <w:rFonts w:ascii="Arial" w:hAnsi="Arial"/>
      <w:b/>
      <w:i/>
      <w:sz w:val="22"/>
    </w:rPr>
  </w:style>
  <w:style w:type="character" w:styleId="Heading1Char">
    <w:name w:val="Heading 1 Char"/>
    <w:basedOn w:val="DefaultParagraphFont"/>
    <w:link w:val="Heading1Char1"/>
    <w:qFormat/>
    <w:rPr>
      <w:rFonts w:ascii="Arial" w:hAnsi="Arial"/>
      <w:sz w:val="40"/>
    </w:rPr>
  </w:style>
  <w:style w:type="character" w:styleId="Heading11">
    <w:name w:val="Heading 11"/>
    <w:basedOn w:val="11"/>
    <w:qFormat/>
    <w:rPr/>
  </w:style>
  <w:style w:type="character" w:styleId="HeaderChar">
    <w:name w:val="Header Char"/>
    <w:basedOn w:val="DefaultParagraphFont"/>
    <w:link w:val="HeaderChar1"/>
    <w:qFormat/>
    <w:rPr/>
  </w:style>
  <w:style w:type="character" w:styleId="Style9">
    <w:name w:val="Колонтитул"/>
    <w:link w:val="14"/>
    <w:qFormat/>
    <w:rPr>
      <w:rFonts w:ascii="Times New Roman" w:hAnsi="Times New Roman"/>
    </w:rPr>
  </w:style>
  <w:style w:type="character" w:styleId="TitleChar">
    <w:name w:val="Title Char"/>
    <w:basedOn w:val="DefaultParagraphFont"/>
    <w:link w:val="TitleChar1"/>
    <w:qFormat/>
    <w:rPr>
      <w:sz w:val="48"/>
    </w:rPr>
  </w:style>
  <w:style w:type="character" w:styleId="TableParagraph">
    <w:name w:val="Table Paragraph"/>
    <w:link w:val="TableParagraph1"/>
    <w:qFormat/>
    <w:rPr>
      <w:rFonts w:ascii="Times New Roman" w:hAnsi="Times New Roman"/>
      <w:color w:val="000000"/>
      <w:sz w:val="22"/>
    </w:rPr>
  </w:style>
  <w:style w:type="character" w:styleId="Hyperlink">
    <w:name w:val="Hyperlink"/>
    <w:basedOn w:val="DefaultParagraphFont"/>
    <w:rPr>
      <w:color w:themeColor="hyperlink" w:val="0563C1"/>
      <w:u w:val="single"/>
    </w:rPr>
  </w:style>
  <w:style w:type="character" w:styleId="Footnote">
    <w:name w:val="Footnote"/>
    <w:link w:val="Footnote1"/>
    <w:qFormat/>
    <w:rPr>
      <w:sz w:val="20"/>
    </w:rPr>
  </w:style>
  <w:style w:type="character" w:styleId="Heading81">
    <w:name w:val="Heading 81"/>
    <w:qFormat/>
    <w:rPr>
      <w:rFonts w:ascii="Arial" w:hAnsi="Arial"/>
      <w:i/>
      <w:sz w:val="22"/>
    </w:rPr>
  </w:style>
  <w:style w:type="character" w:styleId="Contents1">
    <w:name w:val="Contents 1"/>
    <w:qFormat/>
    <w:rPr/>
  </w:style>
  <w:style w:type="character" w:styleId="1">
    <w:name w:val="Основной текст1"/>
    <w:link w:val="111"/>
    <w:qFormat/>
    <w:rPr>
      <w:rFonts w:ascii="Times New Roman" w:hAnsi="Times New Roman"/>
      <w:sz w:val="26"/>
    </w:rPr>
  </w:style>
  <w:style w:type="character" w:styleId="HeaderandFooter">
    <w:name w:val="Header and Footer"/>
    <w:qFormat/>
    <w:rPr>
      <w:rFonts w:ascii="XO Thames" w:hAnsi="XO Thames"/>
      <w:sz w:val="20"/>
    </w:rPr>
  </w:style>
  <w:style w:type="character" w:styleId="21">
    <w:name w:val="Основной текст (2)"/>
    <w:link w:val="212"/>
    <w:qFormat/>
    <w:rPr>
      <w:rFonts w:ascii="Times New Roman" w:hAnsi="Times New Roman"/>
      <w:b/>
      <w:sz w:val="36"/>
    </w:rPr>
  </w:style>
  <w:style w:type="character" w:styleId="11">
    <w:name w:val="Заголовок №1"/>
    <w:link w:val="112"/>
    <w:qFormat/>
    <w:rPr>
      <w:rFonts w:ascii="Times New Roman" w:hAnsi="Times New Roman"/>
      <w:b/>
      <w:sz w:val="28"/>
    </w:rPr>
  </w:style>
  <w:style w:type="character" w:styleId="CaptionChar">
    <w:name w:val="Caption Char"/>
    <w:link w:val="CaptionChar1"/>
    <w:qFormat/>
    <w:rPr/>
  </w:style>
  <w:style w:type="character" w:styleId="ContentsHeading">
    <w:name w:val="Contents Heading"/>
    <w:basedOn w:val="Heading11"/>
    <w:qFormat/>
    <w:rPr/>
  </w:style>
  <w:style w:type="character" w:styleId="Contents9">
    <w:name w:val="Contents 9"/>
    <w:qFormat/>
    <w:rPr/>
  </w:style>
  <w:style w:type="character" w:styleId="Heading2Char">
    <w:name w:val="Heading 2 Char"/>
    <w:basedOn w:val="DefaultParagraphFont"/>
    <w:link w:val="Heading2Char1"/>
    <w:qFormat/>
    <w:rPr>
      <w:rFonts w:ascii="Arial" w:hAnsi="Arial"/>
      <w:sz w:val="34"/>
    </w:rPr>
  </w:style>
  <w:style w:type="character" w:styleId="Contents8">
    <w:name w:val="Contents 8"/>
    <w:qFormat/>
    <w:rPr/>
  </w:style>
  <w:style w:type="character" w:styleId="Textbody">
    <w:name w:val="Text body"/>
    <w:qFormat/>
    <w:rPr>
      <w:rFonts w:ascii="Times New Roman" w:hAnsi="Times New Roman"/>
      <w:color w:val="000000"/>
      <w:sz w:val="26"/>
    </w:rPr>
  </w:style>
  <w:style w:type="character" w:styleId="Style10">
    <w:name w:val="Подпись к таблице"/>
    <w:link w:val="15"/>
    <w:qFormat/>
    <w:rPr>
      <w:rFonts w:ascii="Times New Roman" w:hAnsi="Times New Roman"/>
      <w:b/>
      <w:sz w:val="28"/>
    </w:rPr>
  </w:style>
  <w:style w:type="character" w:styleId="Style11">
    <w:name w:val="Подпись к картинке"/>
    <w:link w:val="16"/>
    <w:qFormat/>
    <w:rPr>
      <w:rFonts w:ascii="Times New Roman" w:hAnsi="Times New Roman"/>
      <w:b/>
      <w:sz w:val="26"/>
    </w:rPr>
  </w:style>
  <w:style w:type="character" w:styleId="EndnoteTextChar">
    <w:name w:val="Endnote Text Char"/>
    <w:link w:val="EndnoteTextChar1"/>
    <w:qFormat/>
    <w:rPr>
      <w:sz w:val="20"/>
    </w:rPr>
  </w:style>
  <w:style w:type="character" w:styleId="Contents5">
    <w:name w:val="Contents 5"/>
    <w:qFormat/>
    <w:rPr/>
  </w:style>
  <w:style w:type="character" w:styleId="22">
    <w:name w:val="Колонтитул (2)"/>
    <w:link w:val="213"/>
    <w:qFormat/>
    <w:rPr>
      <w:rFonts w:ascii="Times New Roman" w:hAnsi="Times New Roman"/>
      <w:sz w:val="20"/>
    </w:rPr>
  </w:style>
  <w:style w:type="character" w:styleId="DefaultParagraphFont">
    <w:name w:val="Default Paragraph Font"/>
    <w:link w:val="DefaultParagraphFont1"/>
    <w:qFormat/>
    <w:rPr/>
  </w:style>
  <w:style w:type="character" w:styleId="Annotationreference">
    <w:name w:val="annotation reference"/>
    <w:basedOn w:val="DefaultParagraphFont"/>
    <w:link w:val="Annotationreference1"/>
    <w:qFormat/>
    <w:rPr>
      <w:sz w:val="16"/>
    </w:rPr>
  </w:style>
  <w:style w:type="character" w:styleId="Subtitle1">
    <w:name w:val="Subtitle1"/>
    <w:qFormat/>
    <w:rPr/>
  </w:style>
  <w:style w:type="character" w:styleId="Caption1">
    <w:name w:val="Caption1"/>
    <w:qFormat/>
    <w:rPr>
      <w:b/>
      <w:color w:themeColor="accent1" w:val="5B9BD5"/>
      <w:sz w:val="18"/>
    </w:rPr>
  </w:style>
  <w:style w:type="character" w:styleId="QuoteChar">
    <w:name w:val="Quote Char"/>
    <w:link w:val="QuoteChar1"/>
    <w:qFormat/>
    <w:rPr>
      <w:i/>
    </w:rPr>
  </w:style>
  <w:style w:type="character" w:styleId="Title1">
    <w:name w:val="Title1"/>
    <w:qFormat/>
    <w:rPr>
      <w:sz w:val="48"/>
    </w:rPr>
  </w:style>
  <w:style w:type="character" w:styleId="Heading41">
    <w:name w:val="Heading 41"/>
    <w:qFormat/>
    <w:rPr>
      <w:rFonts w:ascii="Arial" w:hAnsi="Arial"/>
      <w:b/>
      <w:sz w:val="26"/>
    </w:rPr>
  </w:style>
  <w:style w:type="character" w:styleId="NoSpacing">
    <w:name w:val="No Spacing"/>
    <w:link w:val="NoSpacing1"/>
    <w:qFormat/>
    <w:rPr/>
  </w:style>
  <w:style w:type="character" w:styleId="Heading21">
    <w:name w:val="Heading 21"/>
    <w:basedOn w:val="2"/>
    <w:qFormat/>
    <w:rPr/>
  </w:style>
  <w:style w:type="character" w:styleId="Style12">
    <w:name w:val="Символ концевой сноски"/>
    <w:basedOn w:val="DefaultParagraphFont"/>
    <w:qFormat/>
    <w:rPr>
      <w:vertAlign w:val="superscript"/>
    </w:rPr>
  </w:style>
  <w:style w:type="character" w:styleId="EndnoteReference">
    <w:name w:val="Endnote Reference"/>
    <w:rPr>
      <w:vertAlign w:val="superscript"/>
    </w:rPr>
  </w:style>
  <w:style w:type="character" w:styleId="Heading61">
    <w:name w:val="Heading 61"/>
    <w:qFormat/>
    <w:rPr>
      <w:rFonts w:ascii="Arial" w:hAnsi="Arial"/>
      <w:b/>
      <w:sz w:val="22"/>
    </w:rPr>
  </w:style>
  <w:style w:type="character" w:styleId="Footer1">
    <w:name w:val="Footer1"/>
    <w:qFormat/>
    <w:rPr/>
  </w:style>
  <w:style w:type="character" w:styleId="Style13">
    <w:name w:val="Ссылка указателя"/>
    <w:qFormat/>
    <w:rPr/>
  </w:style>
  <w:style w:type="paragraph" w:styleId="Style14">
    <w:name w:val="Заголовок"/>
    <w:basedOn w:val="Normal"/>
    <w:next w:val="BodyText"/>
    <w:qFormat/>
    <w:pPr>
      <w:keepNext w:val="true"/>
      <w:spacing w:before="240" w:after="120"/>
    </w:pPr>
    <w:rPr>
      <w:rFonts w:ascii="Open Sans" w:hAnsi="Open Sans" w:eastAsia="Tahoma" w:cs="Lohit Devanagari"/>
      <w:sz w:val="28"/>
      <w:szCs w:val="28"/>
    </w:rPr>
  </w:style>
  <w:style w:type="paragraph" w:styleId="BodyText">
    <w:name w:val="Body Text"/>
    <w:basedOn w:val="Normal"/>
    <w:pPr>
      <w:ind w:firstLine="708" w:left="112"/>
      <w:jc w:val="both"/>
    </w:pPr>
    <w:rPr>
      <w:rFonts w:ascii="Times New Roman" w:hAnsi="Times New Roman"/>
      <w:color w:val="000000"/>
      <w:sz w:val="26"/>
    </w:rPr>
  </w:style>
  <w:style w:type="paragraph" w:styleId="List">
    <w:name w:val="List"/>
    <w:basedOn w:val="BodyText"/>
    <w:pPr/>
    <w:rPr>
      <w:rFonts w:cs="Lohit Devanagari"/>
    </w:rPr>
  </w:style>
  <w:style w:type="paragraph" w:styleId="Caption">
    <w:name w:val="Caption"/>
    <w:basedOn w:val="Normal"/>
    <w:next w:val="Normal"/>
    <w:qFormat/>
    <w:pPr>
      <w:spacing w:lineRule="auto" w:line="276"/>
    </w:pPr>
    <w:rPr>
      <w:b/>
      <w:color w:themeColor="accent1" w:val="5B9BD5"/>
      <w:sz w:val="18"/>
    </w:rPr>
  </w:style>
  <w:style w:type="paragraph" w:styleId="Style15">
    <w:name w:val="Указатель"/>
    <w:basedOn w:val="Normal"/>
    <w:qFormat/>
    <w:pPr>
      <w:suppressLineNumbers/>
    </w:pPr>
    <w:rPr>
      <w:rFonts w:cs="Lohit Devanagari"/>
    </w:rPr>
  </w:style>
  <w:style w:type="paragraph" w:styleId="FooterChar1">
    <w:name w:val="Footer Char1"/>
    <w:basedOn w:val="DefaultParagraphFont1"/>
    <w:link w:val="FooterChar"/>
    <w:qFormat/>
    <w:pPr/>
    <w:rPr/>
  </w:style>
  <w:style w:type="paragraph" w:styleId="Heading8Char1">
    <w:name w:val="Heading 8 Char1"/>
    <w:basedOn w:val="DefaultParagraphFont1"/>
    <w:link w:val="Heading8Char"/>
    <w:qFormat/>
    <w:pPr/>
    <w:rPr>
      <w:rFonts w:ascii="Arial" w:hAnsi="Arial"/>
      <w:i/>
      <w:sz w:val="22"/>
    </w:rPr>
  </w:style>
  <w:style w:type="paragraph" w:styleId="FootnoteText">
    <w:name w:val="Footnote Text"/>
    <w:basedOn w:val="Normal"/>
    <w:link w:val="Style5"/>
    <w:pPr>
      <w:ind w:firstLine="720" w:left="0"/>
    </w:pPr>
    <w:rPr>
      <w:rFonts w:ascii="Times New Roman" w:hAnsi="Times New Roman"/>
      <w:sz w:val="20"/>
    </w:rPr>
  </w:style>
  <w:style w:type="paragraph" w:styleId="TOC2">
    <w:name w:val="TOC 2"/>
    <w:basedOn w:val="Normal"/>
    <w:next w:val="Normal"/>
    <w:uiPriority w:val="39"/>
    <w:pPr>
      <w:spacing w:before="0" w:after="100"/>
      <w:ind w:hanging="0" w:left="240"/>
    </w:pPr>
    <w:rPr/>
  </w:style>
  <w:style w:type="paragraph" w:styleId="51">
    <w:name w:val="Основной текст (5)1"/>
    <w:basedOn w:val="Normal"/>
    <w:link w:val="5"/>
    <w:qFormat/>
    <w:pPr/>
    <w:rPr>
      <w:rFonts w:ascii="Times New Roman" w:hAnsi="Times New Roman"/>
      <w:sz w:val="20"/>
    </w:rPr>
  </w:style>
  <w:style w:type="paragraph" w:styleId="TOC4">
    <w:name w:val="TOC 4"/>
    <w:basedOn w:val="Normal"/>
    <w:next w:val="Normal"/>
    <w:uiPriority w:val="39"/>
    <w:pPr>
      <w:spacing w:before="0" w:after="57"/>
      <w:ind w:hanging="0" w:left="850"/>
    </w:pPr>
    <w:rPr/>
  </w:style>
  <w:style w:type="paragraph" w:styleId="12">
    <w:name w:val="Другое1"/>
    <w:basedOn w:val="Normal"/>
    <w:link w:val="Style6"/>
    <w:qFormat/>
    <w:pPr>
      <w:ind w:firstLine="400" w:left="0"/>
    </w:pPr>
    <w:rPr>
      <w:rFonts w:ascii="Times New Roman" w:hAnsi="Times New Roman"/>
      <w:sz w:val="26"/>
    </w:rPr>
  </w:style>
  <w:style w:type="paragraph" w:styleId="FootnoteSymbol">
    <w:name w:val="Footnote Symbol"/>
    <w:basedOn w:val="DefaultParagraphFont1"/>
    <w:qFormat/>
    <w:pPr/>
    <w:rPr>
      <w:vertAlign w:val="superscript"/>
    </w:rPr>
  </w:style>
  <w:style w:type="paragraph" w:styleId="TOC6">
    <w:name w:val="TOC 6"/>
    <w:basedOn w:val="Normal"/>
    <w:next w:val="Normal"/>
    <w:uiPriority w:val="39"/>
    <w:pPr>
      <w:spacing w:before="0" w:after="57"/>
      <w:ind w:hanging="0" w:left="1417"/>
    </w:pPr>
    <w:rPr/>
  </w:style>
  <w:style w:type="paragraph" w:styleId="TOC7">
    <w:name w:val="TOC 7"/>
    <w:basedOn w:val="Normal"/>
    <w:next w:val="Normal"/>
    <w:uiPriority w:val="39"/>
    <w:pPr>
      <w:spacing w:before="0" w:after="57"/>
      <w:ind w:hanging="0" w:left="1701"/>
    </w:pPr>
    <w:rPr/>
  </w:style>
  <w:style w:type="paragraph" w:styleId="EndnoteText">
    <w:name w:val="Endnote Text"/>
    <w:basedOn w:val="Normal"/>
    <w:pPr/>
    <w:rPr>
      <w:sz w:val="20"/>
    </w:rPr>
  </w:style>
  <w:style w:type="paragraph" w:styleId="Heading9Char1">
    <w:name w:val="Heading 9 Char1"/>
    <w:basedOn w:val="DefaultParagraphFont1"/>
    <w:link w:val="Heading9Char"/>
    <w:qFormat/>
    <w:pPr/>
    <w:rPr>
      <w:rFonts w:ascii="Arial" w:hAnsi="Arial"/>
      <w:i/>
      <w:sz w:val="21"/>
    </w:rPr>
  </w:style>
  <w:style w:type="paragraph" w:styleId="211">
    <w:name w:val="Заголовок №21"/>
    <w:basedOn w:val="Normal"/>
    <w:link w:val="2"/>
    <w:qFormat/>
    <w:pPr>
      <w:spacing w:lineRule="auto" w:line="228" w:before="0" w:after="120"/>
      <w:ind w:firstLine="730" w:left="0"/>
      <w:outlineLvl w:val="1"/>
    </w:pPr>
    <w:rPr>
      <w:rFonts w:ascii="Times New Roman" w:hAnsi="Times New Roman"/>
      <w:b/>
      <w:sz w:val="28"/>
    </w:rPr>
  </w:style>
  <w:style w:type="paragraph" w:styleId="BalloonText1">
    <w:name w:val="Balloon Text1"/>
    <w:basedOn w:val="Normal"/>
    <w:link w:val="BalloonText"/>
    <w:qFormat/>
    <w:pPr/>
    <w:rPr>
      <w:rFonts w:ascii="Segoe UI" w:hAnsi="Segoe UI"/>
      <w:sz w:val="18"/>
    </w:rPr>
  </w:style>
  <w:style w:type="paragraph" w:styleId="ListParagraph1">
    <w:name w:val="List Paragraph1"/>
    <w:basedOn w:val="Normal"/>
    <w:link w:val="ListParagraph"/>
    <w:qFormat/>
    <w:pPr>
      <w:spacing w:before="0" w:after="0"/>
      <w:ind w:hanging="0" w:left="720"/>
      <w:contextualSpacing/>
    </w:pPr>
    <w:rPr/>
  </w:style>
  <w:style w:type="paragraph" w:styleId="TableofFigures">
    <w:name w:val="Table of Figures"/>
    <w:basedOn w:val="Normal"/>
    <w:next w:val="Normal"/>
    <w:pPr/>
    <w:rPr/>
  </w:style>
  <w:style w:type="paragraph" w:styleId="IntenseQuoteChar1">
    <w:name w:val="Intense Quote Char1"/>
    <w:link w:val="IntenseQuoteChar"/>
    <w:qFormat/>
    <w:pPr>
      <w:widowControl w:val="false"/>
      <w:bidi w:val="0"/>
      <w:spacing w:lineRule="auto" w:line="240" w:before="0" w:after="0"/>
      <w:ind w:hanging="0" w:left="0" w:right="0"/>
      <w:jc w:val="left"/>
    </w:pPr>
    <w:rPr>
      <w:rFonts w:ascii="Arial Unicode MS" w:hAnsi="Arial Unicode MS" w:eastAsia="Tahoma" w:cs="Lohit Devanagari"/>
      <w:i/>
      <w:color w:val="000000"/>
      <w:spacing w:val="0"/>
      <w:kern w:val="0"/>
      <w:sz w:val="24"/>
      <w:szCs w:val="20"/>
      <w:lang w:val="ru-RU" w:eastAsia="zh-CN" w:bidi="hi-IN"/>
    </w:rPr>
  </w:style>
  <w:style w:type="paragraph" w:styleId="Heading3Char1">
    <w:name w:val="Heading 3 Char1"/>
    <w:basedOn w:val="DefaultParagraphFont1"/>
    <w:link w:val="Heading3Char"/>
    <w:qFormat/>
    <w:pPr/>
    <w:rPr>
      <w:rFonts w:ascii="Arial" w:hAnsi="Arial"/>
      <w:sz w:val="30"/>
    </w:rPr>
  </w:style>
  <w:style w:type="paragraph" w:styleId="Quote1">
    <w:name w:val="Quote1"/>
    <w:basedOn w:val="Normal"/>
    <w:next w:val="Normal"/>
    <w:link w:val="Quote"/>
    <w:qFormat/>
    <w:pPr>
      <w:ind w:hanging="0" w:left="720" w:right="720"/>
    </w:pPr>
    <w:rPr>
      <w:i/>
    </w:rPr>
  </w:style>
  <w:style w:type="paragraph" w:styleId="ConsPlusTitle1">
    <w:name w:val="ConsPlusTitle1"/>
    <w:link w:val="ConsPlusTitle"/>
    <w:qFormat/>
    <w:pPr>
      <w:widowControl w:val="false"/>
      <w:bidi w:val="0"/>
      <w:spacing w:lineRule="auto" w:line="240" w:before="0" w:after="0"/>
      <w:ind w:hanging="0" w:left="0" w:right="0"/>
      <w:jc w:val="left"/>
    </w:pPr>
    <w:rPr>
      <w:rFonts w:ascii="Arial" w:hAnsi="Arial" w:eastAsia="Tahoma" w:cs="Lohit Devanagari"/>
      <w:b/>
      <w:color w:val="000000"/>
      <w:spacing w:val="0"/>
      <w:kern w:val="0"/>
      <w:sz w:val="20"/>
      <w:szCs w:val="20"/>
      <w:lang w:val="ru-RU" w:eastAsia="zh-CN" w:bidi="hi-IN"/>
    </w:rPr>
  </w:style>
  <w:style w:type="paragraph" w:styleId="Annotationtext1">
    <w:name w:val="annotation text1"/>
    <w:basedOn w:val="Normal"/>
    <w:link w:val="Annotationtext"/>
    <w:qFormat/>
    <w:pPr/>
    <w:rPr>
      <w:sz w:val="20"/>
    </w:rPr>
  </w:style>
  <w:style w:type="paragraph" w:styleId="SubtitleChar1">
    <w:name w:val="Subtitle Char1"/>
    <w:basedOn w:val="DefaultParagraphFont1"/>
    <w:link w:val="SubtitleChar"/>
    <w:qFormat/>
    <w:pPr/>
    <w:rPr>
      <w:sz w:val="24"/>
    </w:rPr>
  </w:style>
  <w:style w:type="paragraph" w:styleId="31">
    <w:name w:val="Заголовок №31"/>
    <w:basedOn w:val="Normal"/>
    <w:link w:val="3"/>
    <w:qFormat/>
    <w:pPr>
      <w:ind w:firstLine="740" w:left="0"/>
      <w:outlineLvl w:val="2"/>
    </w:pPr>
    <w:rPr>
      <w:rFonts w:ascii="Times New Roman" w:hAnsi="Times New Roman"/>
      <w:b/>
      <w:sz w:val="26"/>
    </w:rPr>
  </w:style>
  <w:style w:type="paragraph" w:styleId="13">
    <w:name w:val="Оглавление1"/>
    <w:basedOn w:val="Normal"/>
    <w:link w:val="Style8"/>
    <w:qFormat/>
    <w:pPr>
      <w:ind w:firstLine="440" w:left="0"/>
    </w:pPr>
    <w:rPr>
      <w:rFonts w:ascii="Times New Roman" w:hAnsi="Times New Roman"/>
      <w:sz w:val="26"/>
    </w:rPr>
  </w:style>
  <w:style w:type="paragraph" w:styleId="Heading6Char1">
    <w:name w:val="Heading 6 Char1"/>
    <w:basedOn w:val="DefaultParagraphFont1"/>
    <w:link w:val="Heading6Char"/>
    <w:qFormat/>
    <w:pPr/>
    <w:rPr>
      <w:rFonts w:ascii="Arial" w:hAnsi="Arial"/>
      <w:b/>
      <w:sz w:val="22"/>
    </w:rPr>
  </w:style>
  <w:style w:type="paragraph" w:styleId="TOC3">
    <w:name w:val="TOC 3"/>
    <w:basedOn w:val="Normal"/>
    <w:next w:val="Normal"/>
    <w:uiPriority w:val="39"/>
    <w:pPr>
      <w:spacing w:before="0" w:after="100"/>
      <w:ind w:hanging="0" w:left="480"/>
    </w:pPr>
    <w:rPr/>
  </w:style>
  <w:style w:type="paragraph" w:styleId="14">
    <w:name w:val="Колонтитул1"/>
    <w:link w:val="Style9"/>
    <w:qFormat/>
    <w:pPr>
      <w:widowControl w:val="false"/>
      <w:bidi w:val="0"/>
      <w:spacing w:lineRule="auto" w:line="240" w:before="0" w:after="0"/>
      <w:ind w:hanging="0" w:left="0" w:right="0"/>
      <w:jc w:val="both"/>
    </w:pPr>
    <w:rPr>
      <w:rFonts w:ascii="XO Thames" w:hAnsi="XO Thames" w:eastAsia="Tahoma" w:cs="Lohit Devanagari"/>
      <w:color w:val="000000"/>
      <w:spacing w:val="0"/>
      <w:kern w:val="0"/>
      <w:sz w:val="20"/>
      <w:szCs w:val="20"/>
      <w:lang w:val="ru-RU" w:eastAsia="zh-CN" w:bidi="hi-IN"/>
    </w:rPr>
  </w:style>
  <w:style w:type="paragraph" w:styleId="Header">
    <w:name w:val="Header"/>
    <w:basedOn w:val="Normal"/>
    <w:pPr>
      <w:tabs>
        <w:tab w:val="clear" w:pos="708"/>
        <w:tab w:val="center" w:pos="4677" w:leader="none"/>
        <w:tab w:val="right" w:pos="9355" w:leader="none"/>
      </w:tabs>
    </w:pPr>
    <w:rPr/>
  </w:style>
  <w:style w:type="paragraph" w:styleId="Heading4Char1">
    <w:name w:val="Heading 4 Char1"/>
    <w:basedOn w:val="DefaultParagraphFont1"/>
    <w:link w:val="Heading4Char"/>
    <w:qFormat/>
    <w:pPr/>
    <w:rPr>
      <w:rFonts w:ascii="Arial" w:hAnsi="Arial"/>
      <w:b/>
      <w:sz w:val="26"/>
    </w:rPr>
  </w:style>
  <w:style w:type="paragraph" w:styleId="IntenseQuote1">
    <w:name w:val="Intense Quote1"/>
    <w:basedOn w:val="Normal"/>
    <w:next w:val="Normal"/>
    <w:link w:val="IntenseQuote"/>
    <w:qFormat/>
    <w:pPr>
      <w:ind w:hanging="0" w:left="720" w:right="720"/>
    </w:pPr>
    <w:rPr>
      <w:i/>
    </w:rPr>
  </w:style>
  <w:style w:type="paragraph" w:styleId="Annotationsubject1">
    <w:name w:val="annotation subject1"/>
    <w:basedOn w:val="Annotationtext1"/>
    <w:next w:val="Annotationtext1"/>
    <w:link w:val="Annotationsubject"/>
    <w:qFormat/>
    <w:pPr/>
    <w:rPr>
      <w:b/>
    </w:rPr>
  </w:style>
  <w:style w:type="paragraph" w:styleId="Heading5Char1">
    <w:name w:val="Heading 5 Char1"/>
    <w:basedOn w:val="DefaultParagraphFont1"/>
    <w:link w:val="Heading5Char"/>
    <w:qFormat/>
    <w:pPr/>
    <w:rPr>
      <w:rFonts w:ascii="Arial" w:hAnsi="Arial"/>
      <w:b/>
      <w:sz w:val="24"/>
    </w:rPr>
  </w:style>
  <w:style w:type="paragraph" w:styleId="FootnoteTextChar1">
    <w:name w:val="Footnote Text Char1"/>
    <w:link w:val="FootnoteTextChar"/>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18"/>
      <w:szCs w:val="20"/>
      <w:lang w:val="ru-RU" w:eastAsia="zh-CN" w:bidi="hi-IN"/>
    </w:rPr>
  </w:style>
  <w:style w:type="paragraph" w:styleId="Heading7Char1">
    <w:name w:val="Heading 7 Char1"/>
    <w:basedOn w:val="DefaultParagraphFont1"/>
    <w:link w:val="Heading7Char"/>
    <w:qFormat/>
    <w:pPr/>
    <w:rPr>
      <w:rFonts w:ascii="Arial" w:hAnsi="Arial"/>
      <w:b/>
      <w:i/>
      <w:sz w:val="22"/>
    </w:rPr>
  </w:style>
  <w:style w:type="paragraph" w:styleId="Heading1Char1">
    <w:name w:val="Heading 1 Char1"/>
    <w:basedOn w:val="DefaultParagraphFont1"/>
    <w:link w:val="Heading1Char"/>
    <w:qFormat/>
    <w:pPr/>
    <w:rPr>
      <w:rFonts w:ascii="Arial" w:hAnsi="Arial"/>
      <w:sz w:val="40"/>
    </w:rPr>
  </w:style>
  <w:style w:type="paragraph" w:styleId="HeaderChar1">
    <w:name w:val="Header Char1"/>
    <w:basedOn w:val="DefaultParagraphFont1"/>
    <w:link w:val="HeaderChar"/>
    <w:qFormat/>
    <w:pPr/>
    <w:rPr/>
  </w:style>
  <w:style w:type="paragraph" w:styleId="TitleChar1">
    <w:name w:val="Title Char1"/>
    <w:basedOn w:val="DefaultParagraphFont1"/>
    <w:link w:val="TitleChar"/>
    <w:qFormat/>
    <w:pPr/>
    <w:rPr>
      <w:sz w:val="48"/>
    </w:rPr>
  </w:style>
  <w:style w:type="paragraph" w:styleId="TableParagraph1">
    <w:name w:val="Table Paragraph1"/>
    <w:basedOn w:val="Normal"/>
    <w:link w:val="TableParagraph"/>
    <w:qFormat/>
    <w:pPr>
      <w:ind w:hanging="0" w:left="102"/>
    </w:pPr>
    <w:rPr>
      <w:rFonts w:ascii="Times New Roman" w:hAnsi="Times New Roman"/>
      <w:color w:val="000000"/>
      <w:sz w:val="22"/>
    </w:rPr>
  </w:style>
  <w:style w:type="paragraph" w:styleId="Internetlink">
    <w:name w:val="Internet link"/>
    <w:basedOn w:val="DefaultParagraphFont1"/>
    <w:qFormat/>
    <w:pPr/>
    <w:rPr>
      <w:color w:themeColor="hyperlink" w:val="0563C1"/>
      <w:u w:val="single"/>
    </w:rPr>
  </w:style>
  <w:style w:type="paragraph" w:styleId="Footnote1">
    <w:name w:val="Footnote1"/>
    <w:basedOn w:val="Normal"/>
    <w:link w:val="Footnote"/>
    <w:qFormat/>
    <w:pPr/>
    <w:rPr>
      <w:sz w:val="20"/>
    </w:rPr>
  </w:style>
  <w:style w:type="paragraph" w:styleId="TOC1">
    <w:name w:val="TOC 1"/>
    <w:basedOn w:val="Normal"/>
    <w:next w:val="Normal"/>
    <w:uiPriority w:val="39"/>
    <w:pPr>
      <w:spacing w:before="0" w:after="100"/>
    </w:pPr>
    <w:rPr/>
  </w:style>
  <w:style w:type="paragraph" w:styleId="111">
    <w:name w:val="Основной текст11"/>
    <w:basedOn w:val="Normal"/>
    <w:link w:val="1"/>
    <w:qFormat/>
    <w:pPr>
      <w:ind w:firstLine="400" w:left="0"/>
    </w:pPr>
    <w:rPr>
      <w:rFonts w:ascii="Times New Roman" w:hAnsi="Times New Roman"/>
      <w:sz w:val="26"/>
    </w:rPr>
  </w:style>
  <w:style w:type="paragraph" w:styleId="212">
    <w:name w:val="Основной текст (2)1"/>
    <w:basedOn w:val="Normal"/>
    <w:link w:val="21"/>
    <w:qFormat/>
    <w:pPr>
      <w:spacing w:before="0" w:after="7780"/>
      <w:jc w:val="center"/>
    </w:pPr>
    <w:rPr>
      <w:rFonts w:ascii="Times New Roman" w:hAnsi="Times New Roman"/>
      <w:b/>
      <w:sz w:val="36"/>
    </w:rPr>
  </w:style>
  <w:style w:type="paragraph" w:styleId="112">
    <w:name w:val="Заголовок №11"/>
    <w:basedOn w:val="Normal"/>
    <w:link w:val="11"/>
    <w:qFormat/>
    <w:pPr>
      <w:spacing w:before="300" w:after="120"/>
      <w:ind w:firstLine="720" w:left="0"/>
      <w:outlineLvl w:val="0"/>
    </w:pPr>
    <w:rPr>
      <w:rFonts w:ascii="Times New Roman" w:hAnsi="Times New Roman"/>
      <w:b/>
      <w:sz w:val="28"/>
    </w:rPr>
  </w:style>
  <w:style w:type="paragraph" w:styleId="CaptionChar1">
    <w:name w:val="Caption Char1"/>
    <w:link w:val="CaptionChar"/>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24"/>
      <w:szCs w:val="20"/>
      <w:lang w:val="ru-RU" w:eastAsia="zh-CN" w:bidi="hi-IN"/>
    </w:rPr>
  </w:style>
  <w:style w:type="paragraph" w:styleId="IndexHeading">
    <w:name w:val="Index Heading"/>
    <w:basedOn w:val="Style14"/>
    <w:pPr/>
    <w:rPr/>
  </w:style>
  <w:style w:type="paragraph" w:styleId="TOCHeading">
    <w:name w:val="TOC Heading"/>
    <w:basedOn w:val="Heading1"/>
    <w:next w:val="Normal"/>
    <w:qFormat/>
    <w:pPr>
      <w:widowControl/>
      <w:spacing w:lineRule="auto" w:line="264"/>
      <w:outlineLvl w:val="8"/>
    </w:pPr>
    <w:rPr/>
  </w:style>
  <w:style w:type="paragraph" w:styleId="TOC9">
    <w:name w:val="TOC 9"/>
    <w:basedOn w:val="Normal"/>
    <w:next w:val="Normal"/>
    <w:uiPriority w:val="39"/>
    <w:pPr>
      <w:spacing w:before="0" w:after="57"/>
      <w:ind w:hanging="0" w:left="2268"/>
    </w:pPr>
    <w:rPr/>
  </w:style>
  <w:style w:type="paragraph" w:styleId="Heading2Char1">
    <w:name w:val="Heading 2 Char1"/>
    <w:basedOn w:val="DefaultParagraphFont1"/>
    <w:link w:val="Heading2Char"/>
    <w:qFormat/>
    <w:pPr/>
    <w:rPr>
      <w:rFonts w:ascii="Arial" w:hAnsi="Arial"/>
      <w:sz w:val="34"/>
    </w:rPr>
  </w:style>
  <w:style w:type="paragraph" w:styleId="TOC8">
    <w:name w:val="TOC 8"/>
    <w:basedOn w:val="Normal"/>
    <w:next w:val="Normal"/>
    <w:uiPriority w:val="39"/>
    <w:pPr>
      <w:spacing w:before="0" w:after="57"/>
      <w:ind w:hanging="0" w:left="1984"/>
    </w:pPr>
    <w:rPr/>
  </w:style>
  <w:style w:type="paragraph" w:styleId="15">
    <w:name w:val="Подпись к таблице1"/>
    <w:basedOn w:val="Normal"/>
    <w:link w:val="Style10"/>
    <w:qFormat/>
    <w:pPr/>
    <w:rPr>
      <w:rFonts w:ascii="Times New Roman" w:hAnsi="Times New Roman"/>
      <w:b/>
      <w:sz w:val="28"/>
    </w:rPr>
  </w:style>
  <w:style w:type="paragraph" w:styleId="16">
    <w:name w:val="Подпись к картинке1"/>
    <w:basedOn w:val="Normal"/>
    <w:link w:val="Style11"/>
    <w:qFormat/>
    <w:pPr/>
    <w:rPr>
      <w:rFonts w:ascii="Times New Roman" w:hAnsi="Times New Roman"/>
      <w:b/>
      <w:sz w:val="26"/>
    </w:rPr>
  </w:style>
  <w:style w:type="paragraph" w:styleId="EndnoteTextChar1">
    <w:name w:val="Endnote Text Char1"/>
    <w:link w:val="EndnoteTextChar"/>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20"/>
      <w:szCs w:val="20"/>
      <w:lang w:val="ru-RU" w:eastAsia="zh-CN" w:bidi="hi-IN"/>
    </w:rPr>
  </w:style>
  <w:style w:type="paragraph" w:styleId="TOC5">
    <w:name w:val="TOC 5"/>
    <w:basedOn w:val="Normal"/>
    <w:next w:val="Normal"/>
    <w:uiPriority w:val="39"/>
    <w:pPr>
      <w:spacing w:before="0" w:after="57"/>
      <w:ind w:hanging="0" w:left="1134"/>
    </w:pPr>
    <w:rPr/>
  </w:style>
  <w:style w:type="paragraph" w:styleId="213">
    <w:name w:val="Колонтитул (2)1"/>
    <w:basedOn w:val="Normal"/>
    <w:link w:val="22"/>
    <w:qFormat/>
    <w:pPr/>
    <w:rPr>
      <w:rFonts w:ascii="Times New Roman" w:hAnsi="Times New Roman"/>
      <w:sz w:val="20"/>
    </w:rPr>
  </w:style>
  <w:style w:type="paragraph" w:styleId="DefaultParagraphFont1">
    <w:name w:val="Default Paragraph Font1"/>
    <w:link w:val="DefaultParagraphFont"/>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24"/>
      <w:szCs w:val="20"/>
      <w:lang w:val="ru-RU" w:eastAsia="zh-CN" w:bidi="hi-IN"/>
    </w:rPr>
  </w:style>
  <w:style w:type="paragraph" w:styleId="Annotationreference1">
    <w:name w:val="annotation reference1"/>
    <w:basedOn w:val="DefaultParagraphFont1"/>
    <w:link w:val="Annotationreference"/>
    <w:qFormat/>
    <w:pPr/>
    <w:rPr>
      <w:sz w:val="16"/>
    </w:rPr>
  </w:style>
  <w:style w:type="paragraph" w:styleId="Subtitle">
    <w:name w:val="Subtitle"/>
    <w:basedOn w:val="Normal"/>
    <w:next w:val="Normal"/>
    <w:uiPriority w:val="11"/>
    <w:qFormat/>
    <w:pPr>
      <w:spacing w:before="200" w:after="200"/>
    </w:pPr>
    <w:rPr/>
  </w:style>
  <w:style w:type="paragraph" w:styleId="QuoteChar1">
    <w:name w:val="Quote Char1"/>
    <w:link w:val="QuoteChar"/>
    <w:qFormat/>
    <w:pPr>
      <w:widowControl w:val="false"/>
      <w:bidi w:val="0"/>
      <w:spacing w:lineRule="auto" w:line="240" w:before="0" w:after="0"/>
      <w:ind w:hanging="0" w:left="0" w:right="0"/>
      <w:jc w:val="left"/>
    </w:pPr>
    <w:rPr>
      <w:rFonts w:ascii="Arial Unicode MS" w:hAnsi="Arial Unicode MS" w:eastAsia="Tahoma" w:cs="Lohit Devanagari"/>
      <w:i/>
      <w:color w:val="000000"/>
      <w:spacing w:val="0"/>
      <w:kern w:val="0"/>
      <w:sz w:val="24"/>
      <w:szCs w:val="20"/>
      <w:lang w:val="ru-RU" w:eastAsia="zh-CN" w:bidi="hi-IN"/>
    </w:rPr>
  </w:style>
  <w:style w:type="paragraph" w:styleId="Title">
    <w:name w:val="Title"/>
    <w:basedOn w:val="Normal"/>
    <w:next w:val="Normal"/>
    <w:uiPriority w:val="10"/>
    <w:qFormat/>
    <w:pPr>
      <w:spacing w:before="300" w:after="200"/>
      <w:contextualSpacing/>
    </w:pPr>
    <w:rPr>
      <w:sz w:val="48"/>
    </w:rPr>
  </w:style>
  <w:style w:type="paragraph" w:styleId="NoSpacing1">
    <w:name w:val="No Spacing1"/>
    <w:link w:val="NoSpacing"/>
    <w:qFormat/>
    <w:pPr>
      <w:widowControl w:val="false"/>
      <w:bidi w:val="0"/>
      <w:spacing w:lineRule="auto" w:line="240" w:before="0" w:after="0"/>
      <w:ind w:hanging="0" w:left="0" w:right="0"/>
      <w:jc w:val="left"/>
    </w:pPr>
    <w:rPr>
      <w:rFonts w:ascii="Arial Unicode MS" w:hAnsi="Arial Unicode MS" w:eastAsia="Tahoma" w:cs="Lohit Devanagari"/>
      <w:color w:val="000000"/>
      <w:spacing w:val="0"/>
      <w:kern w:val="0"/>
      <w:sz w:val="24"/>
      <w:szCs w:val="20"/>
      <w:lang w:val="ru-RU" w:eastAsia="zh-CN" w:bidi="hi-IN"/>
    </w:rPr>
  </w:style>
  <w:style w:type="paragraph" w:styleId="EndnoteSymbol">
    <w:name w:val="Endnote Symbol"/>
    <w:basedOn w:val="DefaultParagraphFont1"/>
    <w:qFormat/>
    <w:pPr/>
    <w:rPr>
      <w:vertAlign w:val="superscript"/>
    </w:rPr>
  </w:style>
  <w:style w:type="paragraph" w:styleId="Footer">
    <w:name w:val="Footer"/>
    <w:basedOn w:val="Normal"/>
    <w:pPr>
      <w:tabs>
        <w:tab w:val="clear" w:pos="708"/>
        <w:tab w:val="center" w:pos="4677" w:leader="none"/>
        <w:tab w:val="right" w:pos="9355" w:leader="none"/>
      </w:tabs>
    </w:pPr>
    <w:rPr/>
  </w:style>
  <w:style w:type="paragraph" w:styleId="Style16">
    <w:name w:val="Содержимое врезки"/>
    <w:basedOn w:val="Normal"/>
    <w:qFormat/>
    <w:pPr/>
    <w:rPr/>
  </w:style>
  <w:style w:type="table" w:styleId="Style_78">
    <w:name w:val="Grid Table 7 Colorful - Accent 1"/>
    <w:basedOn w:val="Style_9"/>
    <w:tblPr>
      <w:tblBorders>
        <w:bottom w:val="single" w:themeColor="accent1" w:themeTint="80" w:sz="4"/>
        <w:right w:val="single" w:themeColor="accent1" w:themeTint="80" w:sz="4"/>
        <w:insideH w:val="single" w:themeColor="accent1" w:themeTint="80" w:sz="4"/>
        <w:insideV w:val="single" w:themeColor="accent1" w:themeTint="80" w:sz="4"/>
      </w:tblBorders>
    </w:tblPr>
  </w:style>
  <w:style w:type="table" w:styleId="Style_79">
    <w:name w:val="List Table 5 Dark - Accent 5"/>
    <w:basedOn w:val="Style_9"/>
    <w:tblPr>
      <w:tblBorders>
        <w:top w:val="single" w:themeColor="accent5" w:themeTint="9a" w:sz="32"/>
        <w:left w:val="single" w:themeColor="accent5" w:themeTint="9a" w:sz="32"/>
        <w:bottom w:val="single" w:themeColor="accent5" w:themeTint="9a" w:sz="32"/>
        <w:right w:val="single" w:themeColor="accent5" w:themeTint="9a" w:sz="32"/>
      </w:tblBorders>
    </w:tblPr>
  </w:style>
  <w:style w:type="table" w:styleId="Style_80">
    <w:name w:val="Grid Table 2 - Accent 2"/>
    <w:basedOn w:val="Style_9"/>
    <w:tblPr>
      <w:tblBorders>
        <w:bottom w:val="single" w:themeColor="accent2" w:themeTint="97" w:sz="4"/>
        <w:insideH w:val="single" w:themeColor="accent2" w:themeTint="97" w:sz="4"/>
        <w:insideV w:val="single" w:themeColor="accent2" w:themeTint="97" w:sz="4"/>
      </w:tblBorders>
    </w:tblPr>
  </w:style>
  <w:style w:type="table" w:styleId="Style_81">
    <w:name w:val="Grid Table 5 Dark - Accent 2"/>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82">
    <w:name w:val="Grid Table 4 - Accent 3"/>
    <w:basedOn w:val="Style_9"/>
    <w:tblPr>
      <w:tblBorders>
        <w:top w:val="single" w:themeColor="accent3" w:themeTint="90" w:sz="4"/>
        <w:left w:val="single" w:themeColor="accent3" w:themeTint="90" w:sz="4"/>
        <w:bottom w:val="single" w:themeColor="accent3" w:themeTint="90" w:sz="4"/>
        <w:right w:val="single" w:themeColor="accent3" w:themeTint="90" w:sz="4"/>
        <w:insideH w:val="single" w:themeColor="accent3" w:themeTint="90" w:sz="4"/>
        <w:insideV w:val="single" w:themeColor="accent3" w:themeTint="90" w:sz="4"/>
      </w:tblBorders>
    </w:tblPr>
  </w:style>
  <w:style w:type="table" w:styleId="Style_83">
    <w:name w:val="Grid Table 1 Light - Accent 1"/>
    <w:basedOn w:val="Style_9"/>
    <w:tblPr>
      <w:tblBorders>
        <w:top w:val="single" w:themeColor="accent1" w:themeTint="67" w:sz="4"/>
        <w:left w:val="single" w:themeColor="accent1" w:themeTint="67" w:sz="4"/>
        <w:bottom w:val="single" w:themeColor="accent1" w:themeTint="67" w:sz="4"/>
        <w:right w:val="single" w:themeColor="accent1" w:themeTint="67" w:sz="4"/>
        <w:insideH w:val="single" w:themeColor="accent1" w:themeTint="67" w:sz="4"/>
        <w:insideV w:val="single" w:themeColor="accent1" w:themeTint="67" w:sz="4"/>
      </w:tblBorders>
    </w:tblPr>
  </w:style>
  <w:style w:type="table" w:styleId="Style_84">
    <w:name w:val="List Table 1 Light - Accent 1"/>
    <w:basedOn w:val="Style_9"/>
  </w:style>
  <w:style w:type="table" w:styleId="Style_85">
    <w:name w:val="Grid Table 7 Colorful - Accent 3"/>
    <w:basedOn w:val="Style_9"/>
    <w:tblPr>
      <w:tblBorders>
        <w:bottom w:val="single" w:themeColor="accent3" w:themeTint="fe" w:sz="4"/>
        <w:right w:val="single" w:themeColor="accent3" w:themeTint="fe" w:sz="4"/>
        <w:insideH w:val="single" w:themeColor="accent3" w:themeTint="fe" w:sz="4"/>
        <w:insideV w:val="single" w:themeColor="accent3" w:themeTint="fe" w:sz="4"/>
      </w:tblBorders>
    </w:tblPr>
  </w:style>
  <w:style w:type="table" w:styleId="Style_86">
    <w:name w:val="List Table 7 Colorful - Accent 6"/>
    <w:basedOn w:val="Style_9"/>
    <w:tblPr>
      <w:tblBorders>
        <w:right w:val="single" w:themeColor="accent6" w:themeTint="98" w:sz="4"/>
      </w:tblBorders>
    </w:tblPr>
  </w:style>
  <w:style w:type="table" w:styleId="Style_87">
    <w:name w:val="List Table 5 Dark - Accent 2"/>
    <w:basedOn w:val="Style_9"/>
    <w:tblPr>
      <w:tblBorders>
        <w:top w:val="single" w:themeColor="accent2" w:themeTint="97" w:sz="32"/>
        <w:left w:val="single" w:themeColor="accent2" w:themeTint="97" w:sz="32"/>
        <w:bottom w:val="single" w:themeColor="accent2" w:themeTint="97" w:sz="32"/>
        <w:right w:val="single" w:themeColor="accent2" w:themeTint="97" w:sz="32"/>
      </w:tblBorders>
    </w:tblPr>
  </w:style>
  <w:style w:type="table" w:styleId="Style_88">
    <w:name w:val="Plain Table 5"/>
    <w:basedOn w:val="Style_9"/>
  </w:style>
  <w:style w:type="table" w:styleId="Style_89">
    <w:name w:val="Bordered &amp; Lined - Accent 6"/>
    <w:basedOn w:val="Style_9"/>
    <w:rPr>
      <w:sz w:val="20"/>
    </w:rPr>
    <w:tblPr>
      <w:tblBorders>
        <w:top w:val="single" w:themeColor="accent6" w:sz="4"/>
        <w:left w:val="single" w:themeColor="accent6" w:sz="4"/>
        <w:bottom w:val="single" w:themeColor="accent6" w:sz="4"/>
        <w:right w:val="single" w:themeColor="accent6" w:sz="4"/>
        <w:insideH w:val="single" w:themeColor="accent6" w:sz="4"/>
        <w:insideV w:val="single" w:themeColor="accent6" w:sz="4"/>
      </w:tblBorders>
    </w:tblPr>
  </w:style>
  <w:style w:type="table" w:styleId="Style_90">
    <w:name w:val="Bordered - Accent 4"/>
    <w:basedOn w:val="Style_9"/>
    <w:tblPr>
      <w:tblBorders>
        <w:top w:val="single" w:themeColor="accent4" w:themeTint="67" w:sz="4"/>
        <w:left w:val="single" w:themeColor="accent4" w:themeTint="67" w:sz="4"/>
        <w:bottom w:val="single" w:themeColor="accent4" w:themeTint="67" w:sz="4"/>
        <w:right w:val="single" w:themeColor="accent4" w:themeTint="67" w:sz="4"/>
        <w:insideH w:val="single" w:themeColor="accent4" w:themeTint="67" w:sz="4"/>
        <w:insideV w:val="single" w:themeColor="accent4" w:themeTint="67" w:sz="4"/>
      </w:tblBorders>
    </w:tblPr>
  </w:style>
  <w:style w:type="table" w:styleId="Style_91">
    <w:name w:val="Grid Table 5 Dark- Accent 1"/>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92">
    <w:name w:val="Grid Table 1 Light"/>
    <w:basedOn w:val="Style_9"/>
    <w:tblPr>
      <w:tblBorders>
        <w:top w:val="single" w:themeColor="text1" w:themeTint="67" w:sz="4"/>
        <w:left w:val="single" w:themeColor="text1" w:themeTint="67" w:sz="4"/>
        <w:bottom w:val="single" w:themeColor="text1" w:themeTint="67" w:sz="4"/>
        <w:right w:val="single" w:themeColor="text1" w:themeTint="67" w:sz="4"/>
        <w:insideH w:val="single" w:themeColor="text1" w:themeTint="67" w:sz="4"/>
        <w:insideV w:val="single" w:themeColor="text1" w:themeTint="67" w:sz="4"/>
      </w:tblBorders>
    </w:tblPr>
  </w:style>
  <w:style w:type="table" w:styleId="Style_93">
    <w:name w:val="Grid Table 5 Dark"/>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94">
    <w:name w:val="Bordered &amp; Lined - Accent 2"/>
    <w:basedOn w:val="Style_9"/>
    <w:rPr>
      <w:sz w:val="20"/>
    </w:rPr>
    <w:tblPr>
      <w:tblBorders>
        <w:top w:val="single" w:themeColor="accent2" w:sz="4"/>
        <w:left w:val="single" w:themeColor="accent2" w:sz="4"/>
        <w:bottom w:val="single" w:themeColor="accent2" w:sz="4"/>
        <w:right w:val="single" w:themeColor="accent2" w:sz="4"/>
        <w:insideH w:val="single" w:themeColor="accent2" w:sz="4"/>
        <w:insideV w:val="single" w:themeColor="accent2" w:sz="4"/>
      </w:tblBorders>
    </w:tblPr>
  </w:style>
  <w:style w:type="table" w:styleId="Style_95">
    <w:name w:val="List Table 7 Colorful - Accent 2"/>
    <w:basedOn w:val="Style_9"/>
    <w:tblPr>
      <w:tblBorders>
        <w:right w:val="single" w:themeColor="accent2" w:themeTint="97" w:sz="4"/>
      </w:tblBorders>
    </w:tblPr>
  </w:style>
  <w:style w:type="table" w:styleId="Style_96">
    <w:name w:val="Lined - Accent 2"/>
    <w:basedOn w:val="Style_9"/>
    <w:rPr>
      <w:sz w:val="20"/>
    </w:rPr>
  </w:style>
  <w:style w:type="table" w:styleId="Style_97">
    <w:name w:val="List Table 2 - Accent 5"/>
    <w:basedOn w:val="Style_9"/>
    <w:tblPr>
      <w:tblBorders>
        <w:top w:val="single" w:themeColor="accent5" w:themeTint="90" w:sz="4"/>
        <w:bottom w:val="single" w:themeColor="accent5" w:themeTint="90" w:sz="4"/>
        <w:insideH w:val="single" w:themeColor="accent5" w:themeTint="90" w:sz="4"/>
      </w:tblBorders>
    </w:tblPr>
  </w:style>
  <w:style w:type="table" w:styleId="Style_98">
    <w:name w:val="Grid Table 4 - Accent 5"/>
    <w:basedOn w:val="Style_9"/>
    <w:tblPr>
      <w:tblBorders>
        <w:top w:val="single" w:themeColor="accent5" w:themeTint="90" w:sz="4"/>
        <w:left w:val="single" w:themeColor="accent5" w:themeTint="90" w:sz="4"/>
        <w:bottom w:val="single" w:themeColor="accent5" w:themeTint="90" w:sz="4"/>
        <w:right w:val="single" w:themeColor="accent5" w:themeTint="90" w:sz="4"/>
        <w:insideH w:val="single" w:themeColor="accent5" w:themeTint="90" w:sz="4"/>
        <w:insideV w:val="single" w:themeColor="accent5" w:themeTint="90" w:sz="4"/>
      </w:tblBorders>
    </w:tblPr>
  </w:style>
  <w:style w:type="table" w:styleId="Style_16">
    <w:name w:val="Table Grid"/>
    <w:basedOn w:val="Style_9"/>
    <w:tblPr>
      <w:tblBorders>
        <w:top w:val="single" w:color="000000" w:sz="4"/>
        <w:left w:val="single" w:color="000000" w:sz="4"/>
        <w:bottom w:val="single" w:color="000000" w:sz="4"/>
        <w:right w:val="single" w:color="000000" w:sz="4"/>
        <w:insideH w:val="single" w:color="000000" w:sz="4"/>
        <w:insideV w:val="single" w:color="000000" w:sz="4"/>
      </w:tblBorders>
    </w:tblPr>
  </w:style>
  <w:style w:type="table" w:styleId="Style_99">
    <w:name w:val="List Table 3 - Accent 3"/>
    <w:basedOn w:val="Style_9"/>
    <w:tblPr>
      <w:tblBorders>
        <w:top w:val="single" w:themeColor="accent3" w:themeTint="98" w:sz="4"/>
        <w:left w:val="single" w:themeColor="accent3" w:themeTint="98" w:sz="4"/>
        <w:bottom w:val="single" w:themeColor="accent3" w:themeTint="98" w:sz="4"/>
        <w:right w:val="single" w:themeColor="accent3" w:themeTint="98" w:sz="4"/>
      </w:tblBorders>
    </w:tblPr>
  </w:style>
  <w:style w:type="table" w:styleId="Style_100">
    <w:name w:val="Grid Table 3 - Accent 4"/>
    <w:basedOn w:val="Style_9"/>
    <w:tblPr>
      <w:tblBorders>
        <w:bottom w:val="single" w:themeColor="accent4" w:themeTint="9a" w:sz="4"/>
        <w:insideH w:val="single" w:themeColor="accent4" w:themeTint="9a" w:sz="4"/>
        <w:insideV w:val="single" w:themeColor="accent4" w:themeTint="9a" w:sz="4"/>
      </w:tblBorders>
    </w:tblPr>
  </w:style>
  <w:style w:type="table" w:styleId="Style_101">
    <w:name w:val="Grid Table 5 Dark- Accent 4"/>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102">
    <w:name w:val="Bordered &amp; Lined - Accent 1"/>
    <w:basedOn w:val="Style_9"/>
    <w:rPr>
      <w:sz w:val="20"/>
    </w:rPr>
    <w:tblPr>
      <w:tblBorders>
        <w:top w:val="single" w:themeColor="accent1" w:sz="4"/>
        <w:left w:val="single" w:themeColor="accent1" w:sz="4"/>
        <w:bottom w:val="single" w:themeColor="accent1" w:sz="4"/>
        <w:right w:val="single" w:themeColor="accent1" w:sz="4"/>
        <w:insideH w:val="single" w:themeColor="accent1" w:sz="4"/>
        <w:insideV w:val="single" w:themeColor="accent1" w:sz="4"/>
      </w:tblBorders>
    </w:tblPr>
  </w:style>
  <w:style w:type="table" w:styleId="Style_103">
    <w:name w:val="Grid Table 3"/>
    <w:basedOn w:val="Style_9"/>
    <w:tblPr>
      <w:tblBorders>
        <w:bottom w:val="single" w:themeColor="text1" w:themeTint="95" w:sz="4"/>
        <w:insideH w:val="single" w:themeColor="text1" w:themeTint="95" w:sz="4"/>
        <w:insideV w:val="single" w:themeColor="text1" w:themeTint="95" w:sz="4"/>
      </w:tblBorders>
    </w:tblPr>
  </w:style>
  <w:style w:type="table" w:styleId="Style_104">
    <w:name w:val="Grid Table 5 Dark - Accent 5"/>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105">
    <w:name w:val="List Table 5 Dark"/>
    <w:basedOn w:val="Style_9"/>
    <w:tblPr>
      <w:tblBorders>
        <w:top w:val="single" w:themeColor="text1" w:themeTint="80" w:sz="32"/>
        <w:left w:val="single" w:themeColor="text1" w:themeTint="80" w:sz="32"/>
        <w:bottom w:val="single" w:themeColor="text1" w:themeTint="80" w:sz="32"/>
        <w:right w:val="single" w:themeColor="text1" w:themeTint="80" w:sz="32"/>
      </w:tblBorders>
    </w:tblPr>
  </w:style>
  <w:style w:type="table" w:styleId="Style_106">
    <w:name w:val="Grid Table 3 - Accent 5"/>
    <w:basedOn w:val="Style_9"/>
    <w:tblPr>
      <w:tblBorders>
        <w:bottom w:val="single" w:themeColor="accent5" w:sz="4"/>
        <w:insideH w:val="single" w:themeColor="accent5" w:sz="4"/>
        <w:insideV w:val="single" w:themeColor="accent5" w:sz="4"/>
      </w:tblBorders>
    </w:tblPr>
  </w:style>
  <w:style w:type="table" w:styleId="Style_107">
    <w:name w:val="Bordered &amp; Lined - Accent 3"/>
    <w:basedOn w:val="Style_9"/>
    <w:rPr>
      <w:sz w:val="20"/>
    </w:rPr>
    <w:tblPr>
      <w:tblBorders>
        <w:top w:val="single" w:themeColor="accent3" w:sz="4"/>
        <w:left w:val="single" w:themeColor="accent3" w:sz="4"/>
        <w:bottom w:val="single" w:themeColor="accent3" w:sz="4"/>
        <w:right w:val="single" w:themeColor="accent3" w:sz="4"/>
        <w:insideH w:val="single" w:themeColor="accent3" w:sz="4"/>
        <w:insideV w:val="single" w:themeColor="accent3" w:sz="4"/>
      </w:tblBorders>
    </w:tblPr>
  </w:style>
  <w:style w:type="table" w:styleId="Style_108">
    <w:name w:val="Plain Table 1"/>
    <w:basedOn w:val="Style_9"/>
    <w:tblPr>
      <w:tblBorders>
        <w:top w:val="single" w:themeColor="text1" w:themeTint="50" w:sz="4"/>
        <w:left w:val="single" w:themeColor="text1" w:themeTint="50" w:sz="4"/>
        <w:bottom w:val="single" w:themeColor="text1" w:themeTint="50" w:sz="4"/>
        <w:right w:val="single" w:themeColor="text1" w:themeTint="50" w:sz="4"/>
        <w:insideH w:val="single" w:themeColor="text1" w:themeTint="50" w:sz="4"/>
        <w:insideV w:val="single" w:themeColor="text1" w:themeTint="50" w:sz="4"/>
      </w:tblBorders>
    </w:tblPr>
  </w:style>
  <w:style w:type="table" w:styleId="Style_109">
    <w:name w:val="Grid Table 7 Colorful"/>
    <w:basedOn w:val="Style_9"/>
    <w:tblPr>
      <w:tblBorders>
        <w:bottom w:val="single" w:themeColor="text1" w:themeTint="80" w:sz="4"/>
        <w:right w:val="single" w:themeColor="text1" w:themeTint="80" w:sz="4"/>
        <w:insideH w:val="single" w:themeColor="text1" w:themeTint="80" w:sz="4"/>
        <w:insideV w:val="single" w:themeColor="text1" w:themeTint="80" w:sz="4"/>
      </w:tblBorders>
    </w:tblPr>
  </w:style>
  <w:style w:type="table" w:styleId="Style_110">
    <w:name w:val="Bordered - Accent 5"/>
    <w:basedOn w:val="Style_9"/>
    <w:tblPr>
      <w:tblBorders>
        <w:top w:val="single" w:themeColor="accent5" w:themeTint="67" w:sz="4"/>
        <w:left w:val="single" w:themeColor="accent5" w:themeTint="67" w:sz="4"/>
        <w:bottom w:val="single" w:themeColor="accent5" w:themeTint="67" w:sz="4"/>
        <w:right w:val="single" w:themeColor="accent5" w:themeTint="67" w:sz="4"/>
        <w:insideH w:val="single" w:themeColor="accent5" w:themeTint="67" w:sz="4"/>
        <w:insideV w:val="single" w:themeColor="accent5" w:themeTint="67" w:sz="4"/>
      </w:tblBorders>
    </w:tblPr>
  </w:style>
  <w:style w:type="table" w:styleId="Style_111">
    <w:name w:val="Bordered &amp; Lined - Accent 5"/>
    <w:basedOn w:val="Style_9"/>
    <w:rPr>
      <w:sz w:val="20"/>
    </w:rPr>
    <w:tblPr>
      <w:tblBorders>
        <w:top w:val="single" w:themeColor="accent5" w:sz="4"/>
        <w:left w:val="single" w:themeColor="accent5" w:sz="4"/>
        <w:bottom w:val="single" w:themeColor="accent5" w:sz="4"/>
        <w:right w:val="single" w:themeColor="accent5" w:sz="4"/>
        <w:insideH w:val="single" w:themeColor="accent5" w:sz="4"/>
        <w:insideV w:val="single" w:themeColor="accent5" w:sz="4"/>
      </w:tblBorders>
    </w:tblPr>
  </w:style>
  <w:style w:type="table" w:styleId="Style_112">
    <w:name w:val="List Table 6 Colorful"/>
    <w:basedOn w:val="Style_9"/>
    <w:tblPr>
      <w:tblBorders>
        <w:top w:val="single" w:themeColor="text1" w:themeTint="80" w:sz="4"/>
        <w:bottom w:val="single" w:themeColor="text1" w:themeTint="80" w:sz="4"/>
      </w:tblBorders>
    </w:tblPr>
  </w:style>
  <w:style w:type="table" w:styleId="Style_113">
    <w:name w:val="Grid Table 4 - Accent 4"/>
    <w:basedOn w:val="Style_9"/>
    <w:tblPr>
      <w:tblBorders>
        <w:top w:val="single" w:themeColor="accent4" w:themeTint="90" w:sz="4"/>
        <w:left w:val="single" w:themeColor="accent4" w:themeTint="90" w:sz="4"/>
        <w:bottom w:val="single" w:themeColor="accent4" w:themeTint="90" w:sz="4"/>
        <w:right w:val="single" w:themeColor="accent4" w:themeTint="90" w:sz="4"/>
        <w:insideH w:val="single" w:themeColor="accent4" w:themeTint="90" w:sz="4"/>
        <w:insideV w:val="single" w:themeColor="accent4" w:themeTint="90" w:sz="4"/>
      </w:tblBorders>
    </w:tblPr>
  </w:style>
  <w:style w:type="table" w:styleId="Style_114">
    <w:name w:val="List Table 4 - Accent 6"/>
    <w:basedOn w:val="Style_9"/>
    <w:tblPr>
      <w:tblBorders>
        <w:top w:val="single" w:themeColor="accent6" w:themeTint="90" w:sz="4"/>
        <w:left w:val="single" w:themeColor="accent6" w:themeTint="90" w:sz="4"/>
        <w:bottom w:val="single" w:themeColor="accent6" w:themeTint="90" w:sz="4"/>
        <w:right w:val="single" w:themeColor="accent6" w:themeTint="90" w:sz="4"/>
        <w:insideH w:val="single" w:themeColor="accent6" w:themeTint="90" w:sz="4"/>
      </w:tblBorders>
    </w:tblPr>
  </w:style>
  <w:style w:type="table" w:styleId="Style_115">
    <w:name w:val="Lined - Accent 6"/>
    <w:basedOn w:val="Style_9"/>
    <w:rPr>
      <w:sz w:val="20"/>
    </w:rPr>
  </w:style>
  <w:style w:type="table" w:styleId="Style_116">
    <w:name w:val="List Table 3 - Accent 2"/>
    <w:basedOn w:val="Style_9"/>
    <w:tblPr>
      <w:tblBorders>
        <w:top w:val="single" w:themeColor="accent2" w:themeTint="97" w:sz="4"/>
        <w:left w:val="single" w:themeColor="accent2" w:themeTint="97" w:sz="4"/>
        <w:bottom w:val="single" w:themeColor="accent2" w:themeTint="97" w:sz="4"/>
        <w:right w:val="single" w:themeColor="accent2" w:themeTint="97" w:sz="4"/>
      </w:tblBorders>
    </w:tblPr>
  </w:style>
  <w:style w:type="table" w:styleId="Style_117">
    <w:name w:val="Grid Table 7 Colorful - Accent 5"/>
    <w:basedOn w:val="Style_9"/>
    <w:tblPr>
      <w:tblBorders>
        <w:bottom w:val="single" w:themeColor="accent5" w:themeTint="90" w:sz="4"/>
        <w:right w:val="single" w:themeColor="accent5" w:themeTint="90" w:sz="4"/>
        <w:insideH w:val="single" w:themeColor="accent5" w:themeTint="90" w:sz="4"/>
        <w:insideV w:val="single" w:themeColor="accent5" w:themeTint="90" w:sz="4"/>
      </w:tblBorders>
    </w:tblPr>
  </w:style>
  <w:style w:type="table" w:styleId="Style_118">
    <w:name w:val="List Table 1 Light - Accent 3"/>
    <w:basedOn w:val="Style_9"/>
  </w:style>
  <w:style w:type="table" w:styleId="Style_119">
    <w:name w:val="List Table 6 Colorful - Accent 5"/>
    <w:basedOn w:val="Style_9"/>
    <w:tblPr>
      <w:tblBorders>
        <w:top w:val="single" w:themeColor="accent5" w:themeTint="9a" w:sz="4"/>
        <w:bottom w:val="single" w:themeColor="accent5" w:themeTint="9a" w:sz="4"/>
      </w:tblBorders>
    </w:tblPr>
  </w:style>
  <w:style w:type="table" w:styleId="Style_120">
    <w:name w:val="Lined - Accent 5"/>
    <w:basedOn w:val="Style_9"/>
    <w:rPr>
      <w:sz w:val="20"/>
    </w:rPr>
  </w:style>
  <w:style w:type="table" w:styleId="Style_121">
    <w:name w:val="Bordered - Accent 1"/>
    <w:basedOn w:val="Style_9"/>
    <w:tblPr>
      <w:tblBorders>
        <w:top w:val="single" w:themeColor="accent1" w:themeTint="67" w:sz="4"/>
        <w:left w:val="single" w:themeColor="accent1" w:themeTint="67" w:sz="4"/>
        <w:bottom w:val="single" w:themeColor="accent1" w:themeTint="67" w:sz="4"/>
        <w:right w:val="single" w:themeColor="accent1" w:themeTint="67" w:sz="4"/>
        <w:insideH w:val="single" w:themeColor="accent1" w:themeTint="67" w:sz="4"/>
        <w:insideV w:val="single" w:themeColor="accent1" w:themeTint="67" w:sz="4"/>
      </w:tblBorders>
    </w:tblPr>
  </w:style>
  <w:style w:type="table" w:styleId="Style_122">
    <w:name w:val="Grid Table 4 - Accent 2"/>
    <w:basedOn w:val="Style_9"/>
    <w:tblPr>
      <w:tblBorders>
        <w:top w:val="single" w:themeColor="accent2" w:themeTint="90" w:sz="4"/>
        <w:left w:val="single" w:themeColor="accent2" w:themeTint="90" w:sz="4"/>
        <w:bottom w:val="single" w:themeColor="accent2" w:themeTint="90" w:sz="4"/>
        <w:right w:val="single" w:themeColor="accent2" w:themeTint="90" w:sz="4"/>
        <w:insideH w:val="single" w:themeColor="accent2" w:themeTint="90" w:sz="4"/>
        <w:insideV w:val="single" w:themeColor="accent2" w:themeTint="90" w:sz="4"/>
      </w:tblBorders>
    </w:tblPr>
  </w:style>
  <w:style w:type="table" w:styleId="Style_123">
    <w:name w:val="Bordered - Accent 2"/>
    <w:basedOn w:val="Style_9"/>
    <w:tblPr>
      <w:tblBorders>
        <w:top w:val="single" w:themeColor="accent2" w:themeTint="67" w:sz="4"/>
        <w:left w:val="single" w:themeColor="accent2" w:themeTint="67" w:sz="4"/>
        <w:bottom w:val="single" w:themeColor="accent2" w:themeTint="67" w:sz="4"/>
        <w:right w:val="single" w:themeColor="accent2" w:themeTint="67" w:sz="4"/>
        <w:insideH w:val="single" w:themeColor="accent2" w:themeTint="67" w:sz="4"/>
        <w:insideV w:val="single" w:themeColor="accent2" w:themeTint="67" w:sz="4"/>
      </w:tblBorders>
    </w:tblPr>
  </w:style>
  <w:style w:type="table" w:styleId="Style_124">
    <w:name w:val="Grid Table 6 Colorful - Accent 2"/>
    <w:basedOn w:val="Style_9"/>
    <w:tblPr>
      <w:tblBorders>
        <w:top w:val="single" w:themeColor="accent2" w:themeTint="97" w:sz="4"/>
        <w:left w:val="single" w:themeColor="accent2" w:themeTint="97" w:sz="4"/>
        <w:bottom w:val="single" w:themeColor="accent2" w:themeTint="97" w:sz="4"/>
        <w:right w:val="single" w:themeColor="accent2" w:themeTint="97" w:sz="4"/>
        <w:insideH w:val="single" w:themeColor="accent2" w:themeTint="97" w:sz="4"/>
        <w:insideV w:val="single" w:themeColor="accent2" w:themeTint="97" w:sz="4"/>
      </w:tblBorders>
    </w:tblPr>
  </w:style>
  <w:style w:type="table" w:styleId="Style_125">
    <w:name w:val="List Table 6 Colorful - Accent 2"/>
    <w:basedOn w:val="Style_9"/>
    <w:tblPr>
      <w:tblBorders>
        <w:top w:val="single" w:themeColor="accent2" w:themeTint="97" w:sz="4"/>
        <w:bottom w:val="single" w:themeColor="accent2" w:themeTint="97" w:sz="4"/>
      </w:tblBorders>
    </w:tblPr>
  </w:style>
  <w:style w:type="table" w:styleId="Style_126">
    <w:name w:val="Plain Table 2"/>
    <w:basedOn w:val="Style_9"/>
    <w:tblPr>
      <w:tblBorders>
        <w:top w:val="single" w:themeColor="text1" w:sz="4"/>
        <w:left w:val="nil" w:themeColor="text1" w:sz="4"/>
        <w:bottom w:val="single" w:themeColor="text1" w:sz="4"/>
        <w:right w:val="nil" w:themeColor="text1" w:sz="4"/>
      </w:tblBorders>
    </w:tblPr>
  </w:style>
  <w:style w:type="table" w:styleId="Style_127">
    <w:name w:val="List Table 2 - Accent 1"/>
    <w:basedOn w:val="Style_9"/>
    <w:tblPr>
      <w:tblBorders>
        <w:top w:val="single" w:themeColor="accent1" w:themeTint="90" w:sz="4"/>
        <w:bottom w:val="single" w:themeColor="accent1" w:themeTint="90" w:sz="4"/>
        <w:insideH w:val="single" w:themeColor="accent1" w:themeTint="90" w:sz="4"/>
      </w:tblBorders>
    </w:tblPr>
  </w:style>
  <w:style w:type="table" w:styleId="Style_128">
    <w:name w:val="Grid Table 2 - Accent 1"/>
    <w:basedOn w:val="Style_9"/>
    <w:tblPr>
      <w:tblBorders>
        <w:bottom w:val="single" w:themeColor="accent1" w:themeTint="ea" w:sz="4"/>
        <w:insideH w:val="single" w:themeColor="accent1" w:themeTint="ea" w:sz="4"/>
        <w:insideV w:val="single" w:themeColor="accent1" w:themeTint="ea" w:sz="4"/>
      </w:tblBorders>
    </w:tblPr>
  </w:style>
  <w:style w:type="table" w:styleId="Style_129">
    <w:name w:val="Grid Table 7 Colorful - Accent 4"/>
    <w:basedOn w:val="Style_9"/>
    <w:tblPr>
      <w:tblBorders>
        <w:bottom w:val="single" w:themeColor="accent4" w:themeTint="9a" w:sz="4"/>
        <w:right w:val="single" w:themeColor="accent4" w:themeTint="9a" w:sz="4"/>
        <w:insideH w:val="single" w:themeColor="accent4" w:themeTint="9a" w:sz="4"/>
        <w:insideV w:val="single" w:themeColor="accent4" w:themeTint="9a" w:sz="4"/>
      </w:tblBorders>
    </w:tblPr>
  </w:style>
  <w:style w:type="table" w:styleId="Style_130">
    <w:name w:val="Grid Table 1 Light - Accent 6"/>
    <w:basedOn w:val="Style_9"/>
    <w:tblPr>
      <w:tblBorders>
        <w:top w:val="single" w:themeColor="accent6" w:themeTint="67" w:sz="4"/>
        <w:left w:val="single" w:themeColor="accent6" w:themeTint="67" w:sz="4"/>
        <w:bottom w:val="single" w:themeColor="accent6" w:themeTint="67" w:sz="4"/>
        <w:right w:val="single" w:themeColor="accent6" w:themeTint="67" w:sz="4"/>
        <w:insideH w:val="single" w:themeColor="accent6" w:themeTint="67" w:sz="4"/>
        <w:insideV w:val="single" w:themeColor="accent6" w:themeTint="67" w:sz="4"/>
      </w:tblBorders>
    </w:tblPr>
  </w:style>
  <w:style w:type="table" w:styleId="Style_131">
    <w:name w:val="Plain Table 4"/>
    <w:basedOn w:val="Style_9"/>
  </w:style>
  <w:style w:type="table" w:styleId="Style_132">
    <w:name w:val="List Table 3 - Accent 4"/>
    <w:basedOn w:val="Style_9"/>
    <w:tblPr>
      <w:tblBorders>
        <w:top w:val="single" w:themeColor="accent4" w:themeTint="9a" w:sz="4"/>
        <w:left w:val="single" w:themeColor="accent4" w:themeTint="9a" w:sz="4"/>
        <w:bottom w:val="single" w:themeColor="accent4" w:themeTint="9a" w:sz="4"/>
        <w:right w:val="single" w:themeColor="accent4" w:themeTint="9a" w:sz="4"/>
      </w:tblBorders>
    </w:tblPr>
  </w:style>
  <w:style w:type="table" w:styleId="Style_133">
    <w:name w:val="List Table 6 Colorful - Accent 1"/>
    <w:basedOn w:val="Style_9"/>
    <w:tblPr>
      <w:tblBorders>
        <w:top w:val="single" w:themeColor="accent1" w:sz="4"/>
        <w:bottom w:val="single" w:themeColor="accent1" w:sz="4"/>
      </w:tblBorders>
    </w:tblPr>
  </w:style>
  <w:style w:type="table" w:styleId="Style_134">
    <w:name w:val="List Table 3 - Accent 6"/>
    <w:basedOn w:val="Style_9"/>
    <w:tblPr>
      <w:tblBorders>
        <w:top w:val="single" w:themeColor="accent6" w:themeTint="98" w:sz="4"/>
        <w:left w:val="single" w:themeColor="accent6" w:themeTint="98" w:sz="4"/>
        <w:bottom w:val="single" w:themeColor="accent6" w:themeTint="98" w:sz="4"/>
        <w:right w:val="single" w:themeColor="accent6" w:themeTint="98" w:sz="4"/>
      </w:tblBorders>
    </w:tblPr>
  </w:style>
  <w:style w:type="table" w:styleId="Style_135">
    <w:name w:val="List Table 4 - Accent 1"/>
    <w:basedOn w:val="Style_9"/>
    <w:tblPr>
      <w:tblBorders>
        <w:top w:val="single" w:themeColor="accent1" w:themeTint="90" w:sz="4"/>
        <w:left w:val="single" w:themeColor="accent1" w:themeTint="90" w:sz="4"/>
        <w:bottom w:val="single" w:themeColor="accent1" w:themeTint="90" w:sz="4"/>
        <w:right w:val="single" w:themeColor="accent1" w:themeTint="90" w:sz="4"/>
        <w:insideH w:val="single" w:themeColor="accent1" w:themeTint="90" w:sz="4"/>
      </w:tblBorders>
    </w:tblPr>
  </w:style>
  <w:style w:type="table" w:styleId="Style_136">
    <w:name w:val="List Table 2 - Accent 2"/>
    <w:basedOn w:val="Style_9"/>
    <w:tblPr>
      <w:tblBorders>
        <w:top w:val="single" w:themeColor="accent2" w:themeTint="90" w:sz="4"/>
        <w:bottom w:val="single" w:themeColor="accent2" w:themeTint="90" w:sz="4"/>
        <w:insideH w:val="single" w:themeColor="accent2" w:themeTint="90" w:sz="4"/>
      </w:tblBorders>
    </w:tblPr>
  </w:style>
  <w:style w:type="table" w:styleId="Style_137">
    <w:name w:val="Grid Table 6 Colorful - Accent 6"/>
    <w:basedOn w:val="Style_9"/>
    <w:tblPr>
      <w:tblBorders>
        <w:top w:val="single" w:themeColor="accent6" w:sz="4"/>
        <w:left w:val="single" w:themeColor="accent6" w:sz="4"/>
        <w:bottom w:val="single" w:themeColor="accent6" w:sz="4"/>
        <w:right w:val="single" w:themeColor="accent6" w:sz="4"/>
        <w:insideH w:val="single" w:themeColor="accent6" w:sz="4"/>
        <w:insideV w:val="single" w:themeColor="accent6" w:sz="4"/>
      </w:tblBorders>
    </w:tblPr>
  </w:style>
  <w:style w:type="table" w:styleId="Style_138">
    <w:name w:val="List Table 6 Colorful - Accent 3"/>
    <w:basedOn w:val="Style_9"/>
    <w:tblPr>
      <w:tblBorders>
        <w:top w:val="single" w:themeColor="accent3" w:themeTint="98" w:sz="4"/>
        <w:bottom w:val="single" w:themeColor="accent3" w:themeTint="98" w:sz="4"/>
      </w:tblBorders>
    </w:tblPr>
  </w:style>
  <w:style w:type="table" w:styleId="Style_139">
    <w:name w:val="Lined - Accent"/>
    <w:basedOn w:val="Style_9"/>
    <w:rPr>
      <w:sz w:val="20"/>
    </w:rPr>
  </w:style>
  <w:style w:type="table" w:styleId="Style_140">
    <w:name w:val="Grid Table 1 Light - Accent 3"/>
    <w:basedOn w:val="Style_9"/>
    <w:tblPr>
      <w:tblBorders>
        <w:top w:val="single" w:themeColor="accent3" w:themeTint="67" w:sz="4"/>
        <w:left w:val="single" w:themeColor="accent3" w:themeTint="67" w:sz="4"/>
        <w:bottom w:val="single" w:themeColor="accent3" w:themeTint="67" w:sz="4"/>
        <w:right w:val="single" w:themeColor="accent3" w:themeTint="67" w:sz="4"/>
        <w:insideH w:val="single" w:themeColor="accent3" w:themeTint="67" w:sz="4"/>
        <w:insideV w:val="single" w:themeColor="accent3" w:themeTint="67" w:sz="4"/>
      </w:tblBorders>
    </w:tblPr>
  </w:style>
  <w:style w:type="table" w:styleId="Style_141">
    <w:name w:val="Grid Table 7 Colorful - Accent 6"/>
    <w:basedOn w:val="Style_9"/>
    <w:tblPr>
      <w:tblBorders>
        <w:bottom w:val="single" w:themeColor="accent6" w:themeTint="90" w:sz="4"/>
        <w:right w:val="single" w:themeColor="accent6" w:themeTint="90" w:sz="4"/>
        <w:insideH w:val="single" w:themeColor="accent6" w:themeTint="90" w:sz="4"/>
        <w:insideV w:val="single" w:themeColor="accent6" w:themeTint="90" w:sz="4"/>
      </w:tblBorders>
    </w:tblPr>
  </w:style>
  <w:style w:type="table" w:styleId="Style_142">
    <w:name w:val="Grid Table 6 Colorful - Accent 3"/>
    <w:basedOn w:val="Style_9"/>
    <w:tblPr>
      <w:tblBorders>
        <w:top w:val="single" w:themeColor="accent3" w:themeTint="fe" w:sz="4"/>
        <w:left w:val="single" w:themeColor="accent3" w:themeTint="fe" w:sz="4"/>
        <w:bottom w:val="single" w:themeColor="accent3" w:themeTint="fe" w:sz="4"/>
        <w:right w:val="single" w:themeColor="accent3" w:themeTint="fe" w:sz="4"/>
        <w:insideH w:val="single" w:themeColor="accent3" w:themeTint="fe" w:sz="4"/>
        <w:insideV w:val="single" w:themeColor="accent3" w:themeTint="fe" w:sz="4"/>
      </w:tblBorders>
    </w:tblPr>
  </w:style>
  <w:style w:type="table" w:styleId="Style_143">
    <w:name w:val="Grid Table 5 Dark - Accent 3"/>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144">
    <w:name w:val="List Table 7 Colorful - Accent 5"/>
    <w:basedOn w:val="Style_9"/>
    <w:tblPr>
      <w:tblBorders>
        <w:right w:val="single" w:themeColor="accent5" w:themeTint="9a" w:sz="4"/>
      </w:tblBorders>
    </w:tblPr>
  </w:style>
  <w:style w:type="table" w:styleId="Style_145">
    <w:name w:val="Bordered"/>
    <w:basedOn w:val="Style_9"/>
    <w:tblPr>
      <w:tblBorders>
        <w:top w:val="single" w:themeColor="text1" w:themeTint="26" w:sz="4"/>
        <w:left w:val="single" w:themeColor="text1" w:themeTint="26" w:sz="4"/>
        <w:bottom w:val="single" w:themeColor="text1" w:themeTint="26" w:sz="4"/>
        <w:right w:val="single" w:themeColor="text1" w:themeTint="26" w:sz="4"/>
        <w:insideH w:val="single" w:themeColor="text1" w:themeTint="26" w:sz="4"/>
        <w:insideV w:val="single" w:themeColor="text1" w:themeTint="26" w:sz="4"/>
      </w:tblBorders>
    </w:tblPr>
  </w:style>
  <w:style w:type="table" w:styleId="Style_146">
    <w:name w:val="Grid Table 4"/>
    <w:basedOn w:val="Style_9"/>
    <w:tblPr>
      <w:tblBorders>
        <w:top w:val="single" w:themeColor="text1" w:themeTint="90" w:sz="4"/>
        <w:left w:val="single" w:themeColor="text1" w:themeTint="90" w:sz="4"/>
        <w:bottom w:val="single" w:themeColor="text1" w:themeTint="90" w:sz="4"/>
        <w:right w:val="single" w:themeColor="text1" w:themeTint="90" w:sz="4"/>
        <w:insideH w:val="single" w:themeColor="text1" w:themeTint="90" w:sz="4"/>
        <w:insideV w:val="single" w:themeColor="text1" w:themeTint="90" w:sz="4"/>
      </w:tblBorders>
    </w:tblPr>
  </w:style>
  <w:style w:type="table" w:styleId="Style_147">
    <w:name w:val="List Table 5 Dark - Accent 3"/>
    <w:basedOn w:val="Style_9"/>
    <w:tblPr>
      <w:tblBorders>
        <w:top w:val="single" w:themeColor="accent3" w:themeTint="98" w:sz="32"/>
        <w:left w:val="single" w:themeColor="accent3" w:themeTint="98" w:sz="32"/>
        <w:bottom w:val="single" w:themeColor="accent3" w:themeTint="98" w:sz="32"/>
        <w:right w:val="single" w:themeColor="accent3" w:themeTint="98" w:sz="32"/>
      </w:tblBorders>
    </w:tblPr>
  </w:style>
  <w:style w:type="table" w:styleId="Style_148">
    <w:name w:val="Grid Table 3 - Accent 3"/>
    <w:basedOn w:val="Style_9"/>
    <w:tblPr>
      <w:tblBorders>
        <w:bottom w:val="single" w:themeColor="accent3" w:themeTint="fe" w:sz="4"/>
        <w:insideH w:val="single" w:themeColor="accent3" w:themeTint="fe" w:sz="4"/>
        <w:insideV w:val="single" w:themeColor="accent3" w:themeTint="fe" w:sz="4"/>
      </w:tblBorders>
    </w:tblPr>
  </w:style>
  <w:style w:type="table" w:styleId="Style_149">
    <w:name w:val="List Table 3 - Accent 1"/>
    <w:basedOn w:val="Style_9"/>
    <w:tblPr>
      <w:tblBorders>
        <w:top w:val="single" w:themeColor="accent1" w:sz="4"/>
        <w:left w:val="single" w:themeColor="accent1" w:sz="4"/>
        <w:bottom w:val="single" w:themeColor="accent1" w:sz="4"/>
        <w:right w:val="single" w:themeColor="accent1" w:sz="4"/>
      </w:tblBorders>
    </w:tblPr>
  </w:style>
  <w:style w:type="table" w:styleId="Style_150">
    <w:name w:val="Bordered &amp; Lined - Accent 4"/>
    <w:basedOn w:val="Style_9"/>
    <w:rPr>
      <w:sz w:val="20"/>
    </w:rPr>
    <w:tblPr>
      <w:tblBorders>
        <w:top w:val="single" w:themeColor="accent4" w:sz="4"/>
        <w:left w:val="single" w:themeColor="accent4" w:sz="4"/>
        <w:bottom w:val="single" w:themeColor="accent4" w:sz="4"/>
        <w:right w:val="single" w:themeColor="accent4" w:sz="4"/>
        <w:insideH w:val="single" w:themeColor="accent4" w:sz="4"/>
        <w:insideV w:val="single" w:themeColor="accent4" w:sz="4"/>
      </w:tblBorders>
    </w:tblPr>
  </w:style>
  <w:style w:type="table" w:default="1" w:styleId="Style_9">
    <w:name w:val="Normal Table"/>
    <w:tblPr>
      <w:tblCellMar>
        <w:top w:w="0" w:type="dxa"/>
        <w:left w:w="108" w:type="dxa"/>
        <w:bottom w:w="0" w:type="dxa"/>
        <w:right w:w="108" w:type="dxa"/>
      </w:tblCellMar>
    </w:tblPr>
  </w:style>
  <w:style w:type="table" w:styleId="Style_151">
    <w:name w:val="Grid Table 2 - Accent 5"/>
    <w:basedOn w:val="Style_9"/>
    <w:tblPr>
      <w:tblBorders>
        <w:bottom w:val="single" w:themeColor="accent5" w:sz="4"/>
        <w:insideH w:val="single" w:themeColor="accent5" w:sz="4"/>
        <w:insideV w:val="single" w:themeColor="accent5" w:sz="4"/>
      </w:tblBorders>
    </w:tblPr>
  </w:style>
  <w:style w:type="table" w:styleId="Style_152">
    <w:name w:val="Grid Table 5 Dark - Accent 6"/>
    <w:basedOn w:val="Style_9"/>
    <w:tblPr>
      <w:tblBorders>
        <w:top w:val="single" w:themeColor="light1" w:sz="4"/>
        <w:left w:val="single" w:themeColor="light1" w:sz="4"/>
        <w:bottom w:val="single" w:themeColor="light1" w:sz="4"/>
        <w:right w:val="single" w:themeColor="light1" w:sz="4"/>
        <w:insideH w:val="single" w:themeColor="light1" w:sz="4"/>
        <w:insideV w:val="single" w:themeColor="light1" w:sz="4"/>
      </w:tblBorders>
    </w:tblPr>
  </w:style>
  <w:style w:type="table" w:styleId="Style_153">
    <w:name w:val="Grid Table 3 - Accent 6"/>
    <w:basedOn w:val="Style_9"/>
    <w:tblPr>
      <w:tblBorders>
        <w:bottom w:val="single" w:themeColor="accent6" w:sz="4"/>
        <w:insideH w:val="single" w:themeColor="accent6" w:sz="4"/>
        <w:insideV w:val="single" w:themeColor="accent6" w:sz="4"/>
      </w:tblBorders>
    </w:tblPr>
  </w:style>
  <w:style w:type="table" w:styleId="Style_154">
    <w:name w:val="List Table 4 - Accent 2"/>
    <w:basedOn w:val="Style_9"/>
    <w:tblPr>
      <w:tblBorders>
        <w:top w:val="single" w:themeColor="accent2" w:themeTint="90" w:sz="4"/>
        <w:left w:val="single" w:themeColor="accent2" w:themeTint="90" w:sz="4"/>
        <w:bottom w:val="single" w:themeColor="accent2" w:themeTint="90" w:sz="4"/>
        <w:right w:val="single" w:themeColor="accent2" w:themeTint="90" w:sz="4"/>
        <w:insideH w:val="single" w:themeColor="accent2" w:themeTint="90" w:sz="4"/>
      </w:tblBorders>
    </w:tblPr>
  </w:style>
  <w:style w:type="table" w:styleId="Style_155">
    <w:name w:val="Grid Table 4 - Accent 6"/>
    <w:basedOn w:val="Style_9"/>
    <w:tblPr>
      <w:tblBorders>
        <w:top w:val="single" w:themeColor="accent6" w:themeTint="90" w:sz="4"/>
        <w:left w:val="single" w:themeColor="accent6" w:themeTint="90" w:sz="4"/>
        <w:bottom w:val="single" w:themeColor="accent6" w:themeTint="90" w:sz="4"/>
        <w:right w:val="single" w:themeColor="accent6" w:themeTint="90" w:sz="4"/>
        <w:insideH w:val="single" w:themeColor="accent6" w:themeTint="90" w:sz="4"/>
        <w:insideV w:val="single" w:themeColor="accent6" w:themeTint="90" w:sz="4"/>
      </w:tblBorders>
    </w:tblPr>
  </w:style>
  <w:style w:type="table" w:styleId="Style_156">
    <w:name w:val="List Table 5 Dark - Accent 4"/>
    <w:basedOn w:val="Style_9"/>
    <w:tblPr>
      <w:tblBorders>
        <w:top w:val="single" w:themeColor="accent4" w:themeTint="9a" w:sz="32"/>
        <w:left w:val="single" w:themeColor="accent4" w:themeTint="9a" w:sz="32"/>
        <w:bottom w:val="single" w:themeColor="accent4" w:themeTint="9a" w:sz="32"/>
        <w:right w:val="single" w:themeColor="accent4" w:themeTint="9a" w:sz="32"/>
      </w:tblBorders>
    </w:tblPr>
  </w:style>
  <w:style w:type="table" w:styleId="Style_157">
    <w:name w:val="List Table 7 Colorful - Accent 3"/>
    <w:basedOn w:val="Style_9"/>
    <w:tblPr>
      <w:tblBorders>
        <w:right w:val="single" w:themeColor="accent3" w:themeTint="98" w:sz="4"/>
      </w:tblBorders>
    </w:tblPr>
  </w:style>
  <w:style w:type="table" w:styleId="Style_158">
    <w:name w:val="List Table 4 - Accent 3"/>
    <w:basedOn w:val="Style_9"/>
    <w:tblPr>
      <w:tblBorders>
        <w:top w:val="single" w:themeColor="accent3" w:themeTint="90" w:sz="4"/>
        <w:left w:val="single" w:themeColor="accent3" w:themeTint="90" w:sz="4"/>
        <w:bottom w:val="single" w:themeColor="accent3" w:themeTint="90" w:sz="4"/>
        <w:right w:val="single" w:themeColor="accent3" w:themeTint="90" w:sz="4"/>
        <w:insideH w:val="single" w:themeColor="accent3" w:themeTint="90" w:sz="4"/>
      </w:tblBorders>
    </w:tblPr>
  </w:style>
  <w:style w:type="table" w:styleId="Style_159">
    <w:name w:val="Bordered - Accent 3"/>
    <w:basedOn w:val="Style_9"/>
    <w:tblPr>
      <w:tblBorders>
        <w:top w:val="single" w:themeColor="accent3" w:themeTint="67" w:sz="4"/>
        <w:left w:val="single" w:themeColor="accent3" w:themeTint="67" w:sz="4"/>
        <w:bottom w:val="single" w:themeColor="accent3" w:themeTint="67" w:sz="4"/>
        <w:right w:val="single" w:themeColor="accent3" w:themeTint="67" w:sz="4"/>
        <w:insideH w:val="single" w:themeColor="accent3" w:themeTint="67" w:sz="4"/>
        <w:insideV w:val="single" w:themeColor="accent3" w:themeTint="67" w:sz="4"/>
      </w:tblBorders>
    </w:tblPr>
  </w:style>
  <w:style w:type="table" w:styleId="Style_160">
    <w:name w:val="Grid Table 6 Colorful"/>
    <w:basedOn w:val="Style_9"/>
    <w:tblPr>
      <w:tblBorders>
        <w:top w:val="single" w:themeColor="text1" w:themeTint="80" w:sz="4"/>
        <w:left w:val="single" w:themeColor="text1" w:themeTint="80" w:sz="4"/>
        <w:bottom w:val="single" w:themeColor="text1" w:themeTint="80" w:sz="4"/>
        <w:right w:val="single" w:themeColor="text1" w:themeTint="80" w:sz="4"/>
        <w:insideH w:val="single" w:themeColor="text1" w:themeTint="80" w:sz="4"/>
        <w:insideV w:val="single" w:themeColor="text1" w:themeTint="80" w:sz="4"/>
      </w:tblBorders>
    </w:tblPr>
  </w:style>
  <w:style w:type="table" w:styleId="Style_161">
    <w:name w:val="List Table 5 Dark - Accent 1"/>
    <w:basedOn w:val="Style_9"/>
    <w:tblPr>
      <w:tblBorders>
        <w:top w:val="single" w:themeColor="accent1" w:sz="32"/>
        <w:left w:val="single" w:themeColor="accent1" w:sz="32"/>
        <w:bottom w:val="single" w:themeColor="accent1" w:sz="32"/>
        <w:right w:val="single" w:themeColor="accent1" w:sz="32"/>
      </w:tblBorders>
    </w:tblPr>
  </w:style>
  <w:style w:type="table" w:styleId="Style_162">
    <w:name w:val="Lined - Accent 1"/>
    <w:basedOn w:val="Style_9"/>
    <w:rPr>
      <w:sz w:val="20"/>
    </w:rPr>
  </w:style>
  <w:style w:type="table" w:styleId="Style_163">
    <w:name w:val="List Table 4 - Accent 4"/>
    <w:basedOn w:val="Style_9"/>
    <w:tblPr>
      <w:tblBorders>
        <w:top w:val="single" w:themeColor="accent4" w:themeTint="90" w:sz="4"/>
        <w:left w:val="single" w:themeColor="accent4" w:themeTint="90" w:sz="4"/>
        <w:bottom w:val="single" w:themeColor="accent4" w:themeTint="90" w:sz="4"/>
        <w:right w:val="single" w:themeColor="accent4" w:themeTint="90" w:sz="4"/>
        <w:insideH w:val="single" w:themeColor="accent4" w:themeTint="90" w:sz="4"/>
      </w:tblBorders>
    </w:tblPr>
  </w:style>
  <w:style w:type="table" w:styleId="Style_164">
    <w:name w:val="List Table 1 Light - Accent 6"/>
    <w:basedOn w:val="Style_9"/>
  </w:style>
  <w:style w:type="table" w:styleId="Style_165">
    <w:name w:val="List Table 2"/>
    <w:basedOn w:val="Style_9"/>
    <w:tblPr>
      <w:tblBorders>
        <w:top w:val="single" w:themeColor="text1" w:themeTint="90" w:sz="4"/>
        <w:bottom w:val="single" w:themeColor="text1" w:themeTint="90" w:sz="4"/>
        <w:insideH w:val="single" w:themeColor="text1" w:themeTint="90" w:sz="4"/>
      </w:tblBorders>
    </w:tblPr>
  </w:style>
  <w:style w:type="table" w:styleId="Style_166">
    <w:name w:val="List Table 7 Colorful"/>
    <w:basedOn w:val="Style_9"/>
    <w:tblPr>
      <w:tblBorders>
        <w:right w:val="single" w:themeColor="text1" w:themeTint="80" w:sz="4"/>
      </w:tblBorders>
    </w:tblPr>
  </w:style>
  <w:style w:type="table" w:styleId="Style_167">
    <w:name w:val="Grid Table 2 - Accent 6"/>
    <w:basedOn w:val="Style_9"/>
    <w:tblPr>
      <w:tblBorders>
        <w:bottom w:val="single" w:themeColor="accent6" w:sz="4"/>
        <w:insideH w:val="single" w:themeColor="accent6" w:sz="4"/>
        <w:insideV w:val="single" w:themeColor="accent6" w:sz="4"/>
      </w:tblBorders>
    </w:tblPr>
  </w:style>
  <w:style w:type="table" w:styleId="Style_168">
    <w:name w:val="List Table 2 - Accent 6"/>
    <w:basedOn w:val="Style_9"/>
    <w:tblPr>
      <w:tblBorders>
        <w:top w:val="single" w:themeColor="accent6" w:themeTint="90" w:sz="4"/>
        <w:bottom w:val="single" w:themeColor="accent6" w:themeTint="90" w:sz="4"/>
        <w:insideH w:val="single" w:themeColor="accent6" w:themeTint="90" w:sz="4"/>
      </w:tblBorders>
    </w:tblPr>
  </w:style>
  <w:style w:type="table" w:styleId="Style_169">
    <w:name w:val="List Table 3"/>
    <w:basedOn w:val="Style_9"/>
    <w:tblPr>
      <w:tblBorders>
        <w:top w:val="single" w:themeColor="text1" w:sz="4"/>
        <w:left w:val="single" w:themeColor="text1" w:sz="4"/>
        <w:bottom w:val="single" w:themeColor="text1" w:sz="4"/>
        <w:right w:val="single" w:themeColor="text1" w:sz="4"/>
      </w:tblBorders>
    </w:tblPr>
  </w:style>
  <w:style w:type="table" w:styleId="Style_170">
    <w:name w:val="Grid Table 1 Light - Accent 2"/>
    <w:basedOn w:val="Style_9"/>
    <w:tblPr>
      <w:tblBorders>
        <w:top w:val="single" w:themeColor="accent2" w:themeTint="67" w:sz="4"/>
        <w:left w:val="single" w:themeColor="accent2" w:themeTint="67" w:sz="4"/>
        <w:bottom w:val="single" w:themeColor="accent2" w:themeTint="67" w:sz="4"/>
        <w:right w:val="single" w:themeColor="accent2" w:themeTint="67" w:sz="4"/>
        <w:insideH w:val="single" w:themeColor="accent2" w:themeTint="67" w:sz="4"/>
        <w:insideV w:val="single" w:themeColor="accent2" w:themeTint="67" w:sz="4"/>
      </w:tblBorders>
    </w:tblPr>
  </w:style>
  <w:style w:type="table" w:styleId="Style_171">
    <w:name w:val="Grid Table 1 Light - Accent 4"/>
    <w:basedOn w:val="Style_9"/>
    <w:tblPr>
      <w:tblBorders>
        <w:top w:val="single" w:themeColor="accent4" w:themeTint="67" w:sz="4"/>
        <w:left w:val="single" w:themeColor="accent4" w:themeTint="67" w:sz="4"/>
        <w:bottom w:val="single" w:themeColor="accent4" w:themeTint="67" w:sz="4"/>
        <w:right w:val="single" w:themeColor="accent4" w:themeTint="67" w:sz="4"/>
        <w:insideH w:val="single" w:themeColor="accent4" w:themeTint="67" w:sz="4"/>
        <w:insideV w:val="single" w:themeColor="accent4" w:themeTint="67" w:sz="4"/>
      </w:tblBorders>
    </w:tblPr>
  </w:style>
  <w:style w:type="table" w:styleId="Style_172">
    <w:name w:val="Lined - Accent 3"/>
    <w:basedOn w:val="Style_9"/>
    <w:rPr>
      <w:sz w:val="20"/>
    </w:rPr>
  </w:style>
  <w:style w:type="table" w:styleId="Style_173">
    <w:name w:val="List Table 7 Colorful - Accent 4"/>
    <w:basedOn w:val="Style_9"/>
    <w:tblPr>
      <w:tblBorders>
        <w:right w:val="single" w:themeColor="accent4" w:themeTint="9a" w:sz="4"/>
      </w:tblBorders>
    </w:tblPr>
  </w:style>
  <w:style w:type="table" w:styleId="Style_174">
    <w:name w:val="List Table 1 Light"/>
    <w:basedOn w:val="Style_9"/>
  </w:style>
  <w:style w:type="table" w:styleId="Style_175">
    <w:name w:val="List Table 4"/>
    <w:basedOn w:val="Style_9"/>
    <w:tblPr>
      <w:tblBorders>
        <w:top w:val="single" w:themeColor="text1" w:sz="4"/>
        <w:left w:val="single" w:themeColor="text1" w:sz="4"/>
        <w:bottom w:val="single" w:themeColor="text1" w:sz="4"/>
        <w:right w:val="single" w:themeColor="text1" w:sz="4"/>
        <w:insideH w:val="single" w:themeColor="text1" w:sz="4"/>
      </w:tblBorders>
    </w:tblPr>
  </w:style>
  <w:style w:type="table" w:styleId="Style_176">
    <w:name w:val="Grid Table 3 - Accent 2"/>
    <w:basedOn w:val="Style_9"/>
    <w:tblPr>
      <w:tblBorders>
        <w:bottom w:val="single" w:themeColor="accent2" w:themeTint="97" w:sz="4"/>
        <w:insideH w:val="single" w:themeColor="accent2" w:themeTint="97" w:sz="4"/>
        <w:insideV w:val="single" w:themeColor="accent2" w:themeTint="97" w:sz="4"/>
      </w:tblBorders>
    </w:tblPr>
  </w:style>
  <w:style w:type="table" w:styleId="Style_177">
    <w:name w:val="List Table 2 - Accent 4"/>
    <w:basedOn w:val="Style_9"/>
    <w:tblPr>
      <w:tblBorders>
        <w:top w:val="single" w:themeColor="accent4" w:themeTint="90" w:sz="4"/>
        <w:bottom w:val="single" w:themeColor="accent4" w:themeTint="90" w:sz="4"/>
        <w:insideH w:val="single" w:themeColor="accent4" w:themeTint="90" w:sz="4"/>
      </w:tblBorders>
    </w:tblPr>
  </w:style>
  <w:style w:type="table" w:styleId="Style_178">
    <w:name w:val="List Table 3 - Accent 5"/>
    <w:basedOn w:val="Style_9"/>
    <w:tblPr>
      <w:tblBorders>
        <w:top w:val="single" w:themeColor="accent5" w:themeTint="9a" w:sz="4"/>
        <w:left w:val="single" w:themeColor="accent5" w:themeTint="9a" w:sz="4"/>
        <w:bottom w:val="single" w:themeColor="accent5" w:themeTint="9a" w:sz="4"/>
        <w:right w:val="single" w:themeColor="accent5" w:themeTint="9a" w:sz="4"/>
      </w:tblBorders>
    </w:tblPr>
  </w:style>
  <w:style w:type="table" w:styleId="Style_179">
    <w:name w:val="List Table 1 Light - Accent 4"/>
    <w:basedOn w:val="Style_9"/>
  </w:style>
  <w:style w:type="table" w:styleId="Style_180">
    <w:name w:val="Grid Table 6 Colorful - Accent 1"/>
    <w:basedOn w:val="Style_9"/>
    <w:tblPr>
      <w:tblBorders>
        <w:top w:val="single" w:themeColor="accent1" w:themeTint="80" w:sz="4"/>
        <w:left w:val="single" w:themeColor="accent1" w:themeTint="80" w:sz="4"/>
        <w:bottom w:val="single" w:themeColor="accent1" w:themeTint="80" w:sz="4"/>
        <w:right w:val="single" w:themeColor="accent1" w:themeTint="80" w:sz="4"/>
        <w:insideH w:val="single" w:themeColor="accent1" w:themeTint="80" w:sz="4"/>
        <w:insideV w:val="single" w:themeColor="accent1" w:themeTint="80" w:sz="4"/>
      </w:tblBorders>
    </w:tblPr>
  </w:style>
  <w:style w:type="table" w:styleId="Style_181">
    <w:name w:val="List Table 7 Colorful - Accent 1"/>
    <w:basedOn w:val="Style_9"/>
    <w:tblPr>
      <w:tblBorders>
        <w:right w:val="single" w:themeColor="accent1" w:sz="4"/>
      </w:tblBorders>
    </w:tblPr>
  </w:style>
  <w:style w:type="table" w:styleId="Style_182">
    <w:name w:val="Grid Table 1 Light - Accent 5"/>
    <w:basedOn w:val="Style_9"/>
    <w:tblPr>
      <w:tblBorders>
        <w:top w:val="single" w:themeColor="accent5" w:themeTint="67" w:sz="4"/>
        <w:left w:val="single" w:themeColor="accent5" w:themeTint="67" w:sz="4"/>
        <w:bottom w:val="single" w:themeColor="accent5" w:themeTint="67" w:sz="4"/>
        <w:right w:val="single" w:themeColor="accent5" w:themeTint="67" w:sz="4"/>
        <w:insideH w:val="single" w:themeColor="accent5" w:themeTint="67" w:sz="4"/>
        <w:insideV w:val="single" w:themeColor="accent5" w:themeTint="67" w:sz="4"/>
      </w:tblBorders>
    </w:tblPr>
  </w:style>
  <w:style w:type="table" w:styleId="Style_183">
    <w:name w:val="List Table 1 Light - Accent 2"/>
    <w:basedOn w:val="Style_9"/>
  </w:style>
  <w:style w:type="table" w:styleId="Style_184">
    <w:name w:val="Bordered &amp; Lined - Accent"/>
    <w:basedOn w:val="Style_9"/>
    <w:rPr>
      <w:sz w:val="20"/>
    </w:rPr>
    <w:tblPr>
      <w:tblBorders>
        <w:top w:val="single" w:themeColor="text1" w:themeTint="a6" w:sz="4"/>
        <w:left w:val="single" w:themeColor="text1" w:themeTint="a6" w:sz="4"/>
        <w:bottom w:val="single" w:themeColor="text1" w:themeTint="a6" w:sz="4"/>
        <w:right w:val="single" w:themeColor="text1" w:themeTint="a6" w:sz="4"/>
        <w:insideH w:val="single" w:themeColor="text1" w:themeTint="a6" w:sz="4"/>
        <w:insideV w:val="single" w:themeColor="text1" w:themeTint="a6" w:sz="4"/>
      </w:tblBorders>
    </w:tblPr>
  </w:style>
  <w:style w:type="table" w:styleId="Style_185">
    <w:name w:val="Grid Table 2"/>
    <w:basedOn w:val="Style_9"/>
    <w:tblPr>
      <w:tblBorders>
        <w:bottom w:val="single" w:themeColor="text1" w:themeTint="95" w:sz="4"/>
        <w:insideH w:val="single" w:themeColor="text1" w:themeTint="95" w:sz="4"/>
        <w:insideV w:val="single" w:themeColor="text1" w:themeTint="95" w:sz="4"/>
      </w:tblBorders>
    </w:tblPr>
  </w:style>
  <w:style w:type="table" w:styleId="Style_186">
    <w:name w:val="Grid Table 4 - Accent 1"/>
    <w:basedOn w:val="Style_9"/>
    <w:tblPr>
      <w:tblBorders>
        <w:top w:val="single" w:themeColor="accent1" w:themeTint="90" w:sz="4"/>
        <w:left w:val="single" w:themeColor="accent1" w:themeTint="90" w:sz="4"/>
        <w:bottom w:val="single" w:themeColor="accent1" w:themeTint="90" w:sz="4"/>
        <w:right w:val="single" w:themeColor="accent1" w:themeTint="90" w:sz="4"/>
        <w:insideH w:val="single" w:themeColor="accent1" w:themeTint="90" w:sz="4"/>
        <w:insideV w:val="single" w:themeColor="accent1" w:themeTint="90" w:sz="4"/>
      </w:tblBorders>
    </w:tblPr>
  </w:style>
  <w:style w:type="table" w:styleId="Style_187">
    <w:name w:val="Plain Table 3"/>
    <w:basedOn w:val="Style_9"/>
  </w:style>
  <w:style w:type="table" w:styleId="Style_188">
    <w:name w:val="Table Grid Light"/>
    <w:basedOn w:val="Style_9"/>
    <w:tblPr>
      <w:tblBorders>
        <w:top w:val="single" w:themeColor="text1" w:themeTint="50" w:sz="4"/>
        <w:left w:val="single" w:themeColor="text1" w:themeTint="50" w:sz="4"/>
        <w:bottom w:val="single" w:themeColor="text1" w:themeTint="50" w:sz="4"/>
        <w:right w:val="single" w:themeColor="text1" w:themeTint="50" w:sz="4"/>
        <w:insideH w:val="single" w:themeColor="text1" w:themeTint="50" w:sz="4"/>
        <w:insideV w:val="single" w:themeColor="text1" w:themeTint="50" w:sz="4"/>
      </w:tblBorders>
    </w:tblPr>
  </w:style>
  <w:style w:type="table" w:styleId="Style_189">
    <w:name w:val="Grid Table 2 - Accent 3"/>
    <w:basedOn w:val="Style_9"/>
    <w:tblPr>
      <w:tblBorders>
        <w:bottom w:val="single" w:themeColor="accent3" w:themeTint="fe" w:sz="4"/>
        <w:insideH w:val="single" w:themeColor="accent3" w:themeTint="fe" w:sz="4"/>
        <w:insideV w:val="single" w:themeColor="accent3" w:themeTint="fe" w:sz="4"/>
      </w:tblBorders>
    </w:tblPr>
  </w:style>
  <w:style w:type="table" w:styleId="Style_190">
    <w:name w:val="Grid Table 2 - Accent 4"/>
    <w:basedOn w:val="Style_9"/>
    <w:tblPr>
      <w:tblBorders>
        <w:bottom w:val="single" w:themeColor="accent4" w:themeTint="9a" w:sz="4"/>
        <w:insideH w:val="single" w:themeColor="accent4" w:themeTint="9a" w:sz="4"/>
        <w:insideV w:val="single" w:themeColor="accent4" w:themeTint="9a" w:sz="4"/>
      </w:tblBorders>
    </w:tblPr>
  </w:style>
  <w:style w:type="table" w:styleId="Style_191">
    <w:name w:val="List Table 5 Dark - Accent 6"/>
    <w:basedOn w:val="Style_9"/>
    <w:tblPr>
      <w:tblBorders>
        <w:top w:val="single" w:themeColor="accent6" w:themeTint="98" w:sz="32"/>
        <w:left w:val="single" w:themeColor="accent6" w:themeTint="98" w:sz="32"/>
        <w:bottom w:val="single" w:themeColor="accent6" w:themeTint="98" w:sz="32"/>
        <w:right w:val="single" w:themeColor="accent6" w:themeTint="98" w:sz="32"/>
      </w:tblBorders>
    </w:tblPr>
  </w:style>
  <w:style w:type="table" w:styleId="Style_192">
    <w:name w:val="List Table 2 - Accent 3"/>
    <w:basedOn w:val="Style_9"/>
    <w:tblPr>
      <w:tblBorders>
        <w:top w:val="single" w:themeColor="accent3" w:themeTint="90" w:sz="4"/>
        <w:bottom w:val="single" w:themeColor="accent3" w:themeTint="90" w:sz="4"/>
        <w:insideH w:val="single" w:themeColor="accent3" w:themeTint="90" w:sz="4"/>
      </w:tblBorders>
    </w:tblPr>
  </w:style>
  <w:style w:type="table" w:styleId="Style_193">
    <w:name w:val="Lined - Accent 4"/>
    <w:basedOn w:val="Style_9"/>
    <w:rPr>
      <w:sz w:val="20"/>
    </w:rPr>
  </w:style>
  <w:style w:type="table" w:styleId="Style_194">
    <w:name w:val="List Table 4 - Accent 5"/>
    <w:basedOn w:val="Style_9"/>
    <w:tblPr>
      <w:tblBorders>
        <w:top w:val="single" w:themeColor="accent5" w:themeTint="90" w:sz="4"/>
        <w:left w:val="single" w:themeColor="accent5" w:themeTint="90" w:sz="4"/>
        <w:bottom w:val="single" w:themeColor="accent5" w:themeTint="90" w:sz="4"/>
        <w:right w:val="single" w:themeColor="accent5" w:themeTint="90" w:sz="4"/>
        <w:insideH w:val="single" w:themeColor="accent5" w:themeTint="90" w:sz="4"/>
      </w:tblBorders>
    </w:tblPr>
  </w:style>
  <w:style w:type="table" w:styleId="Style_195">
    <w:name w:val="Grid Table 6 Colorful - Accent 5"/>
    <w:basedOn w:val="Style_9"/>
    <w:tblPr>
      <w:tblBorders>
        <w:top w:val="single" w:themeColor="accent5" w:sz="4"/>
        <w:left w:val="single" w:themeColor="accent5" w:sz="4"/>
        <w:bottom w:val="single" w:themeColor="accent5" w:sz="4"/>
        <w:right w:val="single" w:themeColor="accent5" w:sz="4"/>
        <w:insideH w:val="single" w:themeColor="accent5" w:sz="4"/>
        <w:insideV w:val="single" w:themeColor="accent5" w:sz="4"/>
      </w:tblBorders>
    </w:tblPr>
  </w:style>
  <w:style w:type="table" w:styleId="Style_196">
    <w:name w:val="List Table 6 Colorful - Accent 4"/>
    <w:basedOn w:val="Style_9"/>
    <w:tblPr>
      <w:tblBorders>
        <w:top w:val="single" w:themeColor="accent4" w:themeTint="9a" w:sz="4"/>
        <w:bottom w:val="single" w:themeColor="accent4" w:themeTint="9a" w:sz="4"/>
      </w:tblBorders>
    </w:tblPr>
  </w:style>
  <w:style w:type="table" w:styleId="Style_197">
    <w:name w:val="Grid Table 6 Colorful - Accent 4"/>
    <w:basedOn w:val="Style_9"/>
    <w:tblPr>
      <w:tblBorders>
        <w:top w:val="single" w:themeColor="accent4" w:themeTint="9a" w:sz="4"/>
        <w:left w:val="single" w:themeColor="accent4" w:themeTint="9a" w:sz="4"/>
        <w:bottom w:val="single" w:themeColor="accent4" w:themeTint="9a" w:sz="4"/>
        <w:right w:val="single" w:themeColor="accent4" w:themeTint="9a" w:sz="4"/>
        <w:insideH w:val="single" w:themeColor="accent4" w:themeTint="9a" w:sz="4"/>
        <w:insideV w:val="single" w:themeColor="accent4" w:themeTint="9a" w:sz="4"/>
      </w:tblBorders>
    </w:tblPr>
  </w:style>
  <w:style w:type="table" w:styleId="Style_198">
    <w:name w:val="Grid Table 3 - Accent 1"/>
    <w:basedOn w:val="Style_9"/>
    <w:tblPr>
      <w:tblBorders>
        <w:bottom w:val="single" w:themeColor="accent1" w:themeTint="ea" w:sz="4"/>
        <w:insideH w:val="single" w:themeColor="accent1" w:themeTint="ea" w:sz="4"/>
        <w:insideV w:val="single" w:themeColor="accent1" w:themeTint="ea" w:sz="4"/>
      </w:tblBorders>
    </w:tblPr>
  </w:style>
  <w:style w:type="table" w:styleId="Style_199">
    <w:name w:val="Grid Table 7 Colorful - Accent 2"/>
    <w:basedOn w:val="Style_9"/>
    <w:tblPr>
      <w:tblBorders>
        <w:bottom w:val="single" w:themeColor="accent2" w:themeTint="97" w:sz="4"/>
        <w:right w:val="single" w:themeColor="accent2" w:themeTint="97" w:sz="4"/>
        <w:insideH w:val="single" w:themeColor="accent2" w:themeTint="97" w:sz="4"/>
        <w:insideV w:val="single" w:themeColor="accent2" w:themeTint="97" w:sz="4"/>
      </w:tblBorders>
    </w:tblPr>
  </w:style>
  <w:style w:type="table" w:styleId="Style_200">
    <w:name w:val="List Table 1 Light - Accent 5"/>
    <w:basedOn w:val="Style_9"/>
  </w:style>
  <w:style w:type="table" w:styleId="Style_201">
    <w:name w:val="Bordered - Accent 6"/>
    <w:basedOn w:val="Style_9"/>
    <w:tblPr>
      <w:tblBorders>
        <w:top w:val="single" w:themeColor="accent6" w:themeTint="67" w:sz="4"/>
        <w:left w:val="single" w:themeColor="accent6" w:themeTint="67" w:sz="4"/>
        <w:bottom w:val="single" w:themeColor="accent6" w:themeTint="67" w:sz="4"/>
        <w:right w:val="single" w:themeColor="accent6" w:themeTint="67" w:sz="4"/>
        <w:insideH w:val="single" w:themeColor="accent6" w:themeTint="67" w:sz="4"/>
        <w:insideV w:val="single" w:themeColor="accent6" w:themeTint="67" w:sz="4"/>
      </w:tblBorders>
    </w:tblPr>
  </w:style>
  <w:style w:type="table" w:styleId="Style_202">
    <w:name w:val="List Table 6 Colorful - Accent 6"/>
    <w:basedOn w:val="Style_9"/>
    <w:tblPr>
      <w:tblBorders>
        <w:top w:val="single" w:themeColor="accent6" w:themeTint="98" w:sz="4"/>
        <w:bottom w:val="single" w:themeColor="accent6" w:themeTint="98" w:sz="4"/>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ooko@kcioko.ru" TargetMode="External"/><Relationship Id="rId3" Type="http://schemas.openxmlformats.org/officeDocument/2006/relationships/image" Target="media/image1.jpeg"/><Relationship Id="rId4" Type="http://schemas.openxmlformats.org/officeDocument/2006/relationships/image" Target="media/image2.jpeg"/><Relationship Id="rId5" Type="http://schemas.openxmlformats.org/officeDocument/2006/relationships/image" Target="media/image3.jpeg"/><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footer" Target="footer2.xml"/><Relationship Id="rId11" Type="http://schemas.openxmlformats.org/officeDocument/2006/relationships/footer" Target="footer3.xml"/><Relationship Id="rId12" Type="http://schemas.openxmlformats.org/officeDocument/2006/relationships/header" Target="header4.xml"/><Relationship Id="rId13" Type="http://schemas.openxmlformats.org/officeDocument/2006/relationships/header" Target="header5.xml"/><Relationship Id="rId14" Type="http://schemas.openxmlformats.org/officeDocument/2006/relationships/footer" Target="footer4.xml"/><Relationship Id="rId15" Type="http://schemas.openxmlformats.org/officeDocument/2006/relationships/footer" Target="footer5.xml"/><Relationship Id="rId16" Type="http://schemas.openxmlformats.org/officeDocument/2006/relationships/header" Target="header6.xml"/><Relationship Id="rId17" Type="http://schemas.openxmlformats.org/officeDocument/2006/relationships/header" Target="header7.xml"/><Relationship Id="rId18" Type="http://schemas.openxmlformats.org/officeDocument/2006/relationships/footer" Target="footer6.xml"/><Relationship Id="rId19" Type="http://schemas.openxmlformats.org/officeDocument/2006/relationships/footer" Target="footer7.xml"/><Relationship Id="rId20" Type="http://schemas.openxmlformats.org/officeDocument/2006/relationships/image" Target="media/image4.jpeg"/><Relationship Id="rId21" Type="http://schemas.openxmlformats.org/officeDocument/2006/relationships/image" Target="media/image5.jpeg"/><Relationship Id="rId22" Type="http://schemas.openxmlformats.org/officeDocument/2006/relationships/header" Target="header8.xml"/><Relationship Id="rId23" Type="http://schemas.openxmlformats.org/officeDocument/2006/relationships/header" Target="header9.xml"/><Relationship Id="rId24" Type="http://schemas.openxmlformats.org/officeDocument/2006/relationships/footer" Target="footer8.xml"/><Relationship Id="rId25" Type="http://schemas.openxmlformats.org/officeDocument/2006/relationships/footer" Target="footer9.xml"/><Relationship Id="rId26" Type="http://schemas.openxmlformats.org/officeDocument/2006/relationships/image" Target="media/image6.jpeg"/><Relationship Id="rId27" Type="http://schemas.openxmlformats.org/officeDocument/2006/relationships/header" Target="header10.xml"/><Relationship Id="rId28" Type="http://schemas.openxmlformats.org/officeDocument/2006/relationships/header" Target="header11.xml"/><Relationship Id="rId29" Type="http://schemas.openxmlformats.org/officeDocument/2006/relationships/footer" Target="footer10.xml"/><Relationship Id="rId30" Type="http://schemas.openxmlformats.org/officeDocument/2006/relationships/footer" Target="footer11.xml"/><Relationship Id="rId31" Type="http://schemas.openxmlformats.org/officeDocument/2006/relationships/image" Target="media/image7.jpeg"/><Relationship Id="rId32" Type="http://schemas.openxmlformats.org/officeDocument/2006/relationships/image" Target="media/image8.jpeg"/><Relationship Id="rId33" Type="http://schemas.openxmlformats.org/officeDocument/2006/relationships/header" Target="header12.xml"/><Relationship Id="rId34" Type="http://schemas.openxmlformats.org/officeDocument/2006/relationships/header" Target="header13.xml"/><Relationship Id="rId35" Type="http://schemas.openxmlformats.org/officeDocument/2006/relationships/footer" Target="footer12.xml"/><Relationship Id="rId36" Type="http://schemas.openxmlformats.org/officeDocument/2006/relationships/footer" Target="footer13.xml"/><Relationship Id="rId37" Type="http://schemas.openxmlformats.org/officeDocument/2006/relationships/image" Target="media/image9.jpeg"/><Relationship Id="rId38" Type="http://schemas.openxmlformats.org/officeDocument/2006/relationships/header" Target="header14.xml"/><Relationship Id="rId39" Type="http://schemas.openxmlformats.org/officeDocument/2006/relationships/header" Target="header15.xml"/><Relationship Id="rId40" Type="http://schemas.openxmlformats.org/officeDocument/2006/relationships/footer" Target="footer14.xml"/><Relationship Id="rId41" Type="http://schemas.openxmlformats.org/officeDocument/2006/relationships/footer" Target="footer15.xml"/><Relationship Id="rId42" Type="http://schemas.openxmlformats.org/officeDocument/2006/relationships/footnotes" Target="footnotes.xml"/><Relationship Id="rId43" Type="http://schemas.openxmlformats.org/officeDocument/2006/relationships/numbering" Target="numbering.xml"/><Relationship Id="rId44" Type="http://schemas.openxmlformats.org/officeDocument/2006/relationships/fontTable" Target="fontTable.xml"/><Relationship Id="rId45" Type="http://schemas.openxmlformats.org/officeDocument/2006/relationships/settings" Target="settings.xml"/><Relationship Id="rId46"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tileRect l="0" t="0" r="0" b="0"/>
        </a:gradFill>
      </a:fillStyleLst>
      <a:lnStyleLst>
        <a:ln w="6350">
          <a:prstDash val="solid"/>
        </a:ln>
        <a:ln w="12700">
          <a:prstDash val="solid"/>
        </a:ln>
        <a:ln w="19050">
          <a:prstDash val="solid"/>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15</TotalTime>
  <Application>LibreOffice/7.6.7.2$Linux_X86_64 LibreOffice_project/60$Build-2</Application>
  <AppVersion>15.0000</AppVersion>
  <Pages>91</Pages>
  <Words>31614</Words>
  <Characters>216055</Characters>
  <CharactersWithSpaces>246060</CharactersWithSpaces>
  <Paragraphs>1646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ru-RU</dc:language>
  <cp:lastModifiedBy/>
  <dcterms:modified xsi:type="dcterms:W3CDTF">2026-03-18T15:39:48Z</dcterms:modified>
  <cp:revision>19</cp:revision>
  <dc:subject/>
  <dc:title/>
</cp:coreProperties>
</file>